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A7703"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jc w:val="center"/>
        <w:rPr>
          <w:b/>
          <w:bCs/>
          <w:color w:val="333333"/>
          <w:spacing w:val="30"/>
        </w:rPr>
      </w:pPr>
      <w:r w:rsidRPr="007107DF">
        <w:rPr>
          <w:b/>
          <w:bCs/>
          <w:color w:val="333333"/>
          <w:spacing w:val="30"/>
        </w:rPr>
        <w:t>最高人民法院</w:t>
      </w:r>
    </w:p>
    <w:p w14:paraId="75963374" w14:textId="1E40DFE8" w:rsidR="008E2D19" w:rsidRPr="007107DF" w:rsidRDefault="008E2D19" w:rsidP="007107DF">
      <w:pPr>
        <w:pStyle w:val="a7"/>
        <w:shd w:val="clear" w:color="auto" w:fill="FFFFFF"/>
        <w:adjustRightInd w:val="0"/>
        <w:snapToGrid w:val="0"/>
        <w:spacing w:beforeLines="50" w:before="156" w:beforeAutospacing="0" w:after="0" w:afterAutospacing="0" w:line="300" w:lineRule="auto"/>
        <w:jc w:val="center"/>
        <w:rPr>
          <w:b/>
          <w:bCs/>
          <w:color w:val="333333"/>
          <w:spacing w:val="8"/>
        </w:rPr>
      </w:pPr>
      <w:r w:rsidRPr="007107DF">
        <w:rPr>
          <w:b/>
          <w:bCs/>
          <w:color w:val="333333"/>
          <w:spacing w:val="30"/>
        </w:rPr>
        <w:t>关于印发《全国法院民商事审判工作会议纪要》的通知</w:t>
      </w:r>
    </w:p>
    <w:p w14:paraId="2DE54A01"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jc w:val="center"/>
        <w:rPr>
          <w:b/>
          <w:bCs/>
          <w:color w:val="333333"/>
          <w:spacing w:val="8"/>
        </w:rPr>
      </w:pPr>
      <w:r w:rsidRPr="007107DF">
        <w:rPr>
          <w:b/>
          <w:bCs/>
          <w:color w:val="333333"/>
          <w:spacing w:val="30"/>
        </w:rPr>
        <w:t>法〔2019〕254号</w:t>
      </w:r>
    </w:p>
    <w:p w14:paraId="5A201ADB"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各省、自治区、直辖市高级人民法院，解放军军事法院，新疆维吾尔自治区高级人民法院生产建设兵团分院：</w:t>
      </w:r>
    </w:p>
    <w:p w14:paraId="1CB31BC0"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全国法院民商事审判工作会议纪要》（以下简称《会议纪要》）已于2019年9月11日经最高人民法院审判委员会民事行政专业委员会第319次会议原则通过。为便于进一步学习领会和正确适用《会议纪要》，特作如下通知：</w:t>
      </w:r>
    </w:p>
    <w:p w14:paraId="1E3C6693"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一、充分认识《会议纪要》出台的意义</w:t>
      </w:r>
    </w:p>
    <w:p w14:paraId="0E37D65E"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会议纪要》针对民商事审判中的前沿疑难争议问题，在广泛征求各方面意见的基础上，经最高人民法院审判委员会民事行政专业委员会讨论决定。《会议纪要》的出台，对统一裁判思路，规范法官自由裁量权，增强民商事审判的公开性、透明度以及可预期性，提高司法公信力具有重要意义。各级人民法院要正确把握和理解适用《会议纪要》的精神实质和基本内容。</w:t>
      </w:r>
    </w:p>
    <w:p w14:paraId="0F279A23"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二、及时组织学习培训</w:t>
      </w:r>
    </w:p>
    <w:p w14:paraId="7D50D6DA"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为使各级人民法院尽快准确理解掌握《会议纪要》的内涵，在案件审理中正确理解适用，各级人民法院要在妥善处理好工学关系的前提下，通过多种形式组织学习培训，做好宣传工作。</w:t>
      </w:r>
    </w:p>
    <w:p w14:paraId="214F547F"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三、准确把握《会议纪要》的应用范围</w:t>
      </w:r>
    </w:p>
    <w:p w14:paraId="7B6943CE"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纪要不是司法解释，不能作为裁判依据进行援引。《会议纪要》发布后，人民法院尚未审结的一审、二审案件，在裁判文书“本院认为”部分具体分析法律适用的理由时，可以根据《会议纪要》的相关规定进行说理。</w:t>
      </w:r>
    </w:p>
    <w:p w14:paraId="105B3478"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对于适用中存在的问题,请层报最高人民法院。</w:t>
      </w:r>
    </w:p>
    <w:p w14:paraId="5F306898" w14:textId="5C2C8085" w:rsidR="008E2D19" w:rsidRPr="007107DF" w:rsidRDefault="008E2D19" w:rsidP="007107DF">
      <w:pPr>
        <w:pStyle w:val="a7"/>
        <w:shd w:val="clear" w:color="auto" w:fill="FFFFFF"/>
        <w:adjustRightInd w:val="0"/>
        <w:snapToGrid w:val="0"/>
        <w:spacing w:beforeLines="50" w:before="156" w:beforeAutospacing="0" w:after="0" w:afterAutospacing="0" w:line="300" w:lineRule="auto"/>
        <w:jc w:val="right"/>
        <w:rPr>
          <w:color w:val="333333"/>
          <w:spacing w:val="8"/>
        </w:rPr>
      </w:pPr>
      <w:r w:rsidRPr="007107DF">
        <w:rPr>
          <w:color w:val="333333"/>
          <w:spacing w:val="30"/>
        </w:rPr>
        <w:t>最高人民法院</w:t>
      </w:r>
    </w:p>
    <w:p w14:paraId="6790D470" w14:textId="6F59A021" w:rsidR="007107DF" w:rsidRDefault="008E2D19" w:rsidP="00E32831">
      <w:pPr>
        <w:pStyle w:val="a7"/>
        <w:shd w:val="clear" w:color="auto" w:fill="FFFFFF"/>
        <w:adjustRightInd w:val="0"/>
        <w:snapToGrid w:val="0"/>
        <w:spacing w:beforeLines="50" w:before="156" w:beforeAutospacing="0" w:after="0" w:afterAutospacing="0" w:line="300" w:lineRule="auto"/>
        <w:jc w:val="right"/>
        <w:rPr>
          <w:color w:val="333333"/>
          <w:spacing w:val="30"/>
          <w:sz w:val="28"/>
          <w:szCs w:val="28"/>
        </w:rPr>
      </w:pPr>
      <w:r w:rsidRPr="007107DF">
        <w:rPr>
          <w:color w:val="333333"/>
          <w:spacing w:val="30"/>
        </w:rPr>
        <w:t>2019年11月8</w:t>
      </w:r>
      <w:bookmarkStart w:id="0" w:name="_GoBack"/>
      <w:bookmarkEnd w:id="0"/>
      <w:r w:rsidRPr="007107DF">
        <w:rPr>
          <w:color w:val="333333"/>
          <w:spacing w:val="30"/>
        </w:rPr>
        <w:t>日</w:t>
      </w:r>
      <w:r w:rsidR="007107DF">
        <w:rPr>
          <w:color w:val="333333"/>
          <w:spacing w:val="30"/>
          <w:sz w:val="28"/>
          <w:szCs w:val="28"/>
        </w:rPr>
        <w:br w:type="page"/>
      </w:r>
    </w:p>
    <w:p w14:paraId="499B882D" w14:textId="724F4ED9" w:rsidR="008E2D19" w:rsidRPr="007107DF" w:rsidRDefault="008E2D19" w:rsidP="007107DF">
      <w:pPr>
        <w:pStyle w:val="a7"/>
        <w:shd w:val="clear" w:color="auto" w:fill="FFFFFF"/>
        <w:adjustRightInd w:val="0"/>
        <w:snapToGrid w:val="0"/>
        <w:spacing w:beforeLines="50" w:before="156" w:beforeAutospacing="0" w:after="0" w:afterAutospacing="0" w:line="300" w:lineRule="auto"/>
        <w:jc w:val="center"/>
        <w:rPr>
          <w:color w:val="333333"/>
          <w:spacing w:val="8"/>
          <w:sz w:val="28"/>
          <w:szCs w:val="28"/>
        </w:rPr>
      </w:pPr>
      <w:r w:rsidRPr="007107DF">
        <w:rPr>
          <w:color w:val="333333"/>
          <w:spacing w:val="30"/>
          <w:sz w:val="28"/>
          <w:szCs w:val="28"/>
        </w:rPr>
        <w:lastRenderedPageBreak/>
        <w:t>全国法院民商事审判工作会议纪要</w:t>
      </w:r>
    </w:p>
    <w:p w14:paraId="6EC3F013"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w:t>
      </w:r>
    </w:p>
    <w:sdt>
      <w:sdtPr>
        <w:rPr>
          <w:lang w:val="zh-CN"/>
        </w:rPr>
        <w:id w:val="-1093863560"/>
        <w:docPartObj>
          <w:docPartGallery w:val="Table of Contents"/>
          <w:docPartUnique/>
        </w:docPartObj>
      </w:sdtPr>
      <w:sdtEndPr>
        <w:rPr>
          <w:rFonts w:asciiTheme="minorHAnsi" w:eastAsiaTheme="minorEastAsia" w:hAnsiTheme="minorHAnsi" w:cstheme="minorBidi"/>
          <w:b/>
          <w:bCs/>
          <w:color w:val="auto"/>
          <w:kern w:val="2"/>
          <w:sz w:val="21"/>
          <w:szCs w:val="22"/>
        </w:rPr>
      </w:sdtEndPr>
      <w:sdtContent>
        <w:p w14:paraId="734DE66B" w14:textId="1EA5F2F6" w:rsidR="007107DF" w:rsidRDefault="007107DF" w:rsidP="007107DF">
          <w:pPr>
            <w:pStyle w:val="TOC"/>
            <w:jc w:val="center"/>
          </w:pPr>
          <w:r>
            <w:rPr>
              <w:lang w:val="zh-CN"/>
            </w:rPr>
            <w:t>目录</w:t>
          </w:r>
        </w:p>
        <w:p w14:paraId="4012D56B" w14:textId="06C5041B" w:rsidR="00076A46" w:rsidRDefault="007107DF">
          <w:pPr>
            <w:pStyle w:val="TOC1"/>
            <w:tabs>
              <w:tab w:val="right" w:leader="dot" w:pos="9345"/>
            </w:tabs>
            <w:rPr>
              <w:noProof/>
            </w:rPr>
          </w:pPr>
          <w:r>
            <w:fldChar w:fldCharType="begin"/>
          </w:r>
          <w:r>
            <w:instrText xml:space="preserve"> TOC \o "1-3" \h \z \u </w:instrText>
          </w:r>
          <w:r>
            <w:fldChar w:fldCharType="separate"/>
          </w:r>
          <w:hyperlink w:anchor="_Toc24657746" w:history="1">
            <w:r w:rsidR="00076A46" w:rsidRPr="00C450DD">
              <w:rPr>
                <w:rStyle w:val="a8"/>
                <w:b/>
                <w:bCs/>
                <w:noProof/>
                <w:spacing w:val="30"/>
              </w:rPr>
              <w:t>引言</w:t>
            </w:r>
            <w:r w:rsidR="00076A46">
              <w:rPr>
                <w:noProof/>
                <w:webHidden/>
              </w:rPr>
              <w:tab/>
            </w:r>
            <w:r w:rsidR="00076A46">
              <w:rPr>
                <w:noProof/>
                <w:webHidden/>
              </w:rPr>
              <w:fldChar w:fldCharType="begin"/>
            </w:r>
            <w:r w:rsidR="00076A46">
              <w:rPr>
                <w:noProof/>
                <w:webHidden/>
              </w:rPr>
              <w:instrText xml:space="preserve"> PAGEREF _Toc24657746 \h </w:instrText>
            </w:r>
            <w:r w:rsidR="00076A46">
              <w:rPr>
                <w:noProof/>
                <w:webHidden/>
              </w:rPr>
            </w:r>
            <w:r w:rsidR="00076A46">
              <w:rPr>
                <w:noProof/>
                <w:webHidden/>
              </w:rPr>
              <w:fldChar w:fldCharType="separate"/>
            </w:r>
            <w:r w:rsidR="00076A46">
              <w:rPr>
                <w:noProof/>
                <w:webHidden/>
              </w:rPr>
              <w:t>3</w:t>
            </w:r>
            <w:r w:rsidR="00076A46">
              <w:rPr>
                <w:noProof/>
                <w:webHidden/>
              </w:rPr>
              <w:fldChar w:fldCharType="end"/>
            </w:r>
          </w:hyperlink>
        </w:p>
        <w:p w14:paraId="2D9248E2" w14:textId="30C09C80" w:rsidR="00076A46" w:rsidRDefault="00076A46">
          <w:pPr>
            <w:pStyle w:val="TOC1"/>
            <w:tabs>
              <w:tab w:val="right" w:leader="dot" w:pos="9345"/>
            </w:tabs>
            <w:rPr>
              <w:noProof/>
            </w:rPr>
          </w:pPr>
          <w:hyperlink w:anchor="_Toc24657747" w:history="1">
            <w:r w:rsidRPr="00C450DD">
              <w:rPr>
                <w:rStyle w:val="a8"/>
                <w:b/>
                <w:bCs/>
                <w:noProof/>
                <w:spacing w:val="30"/>
              </w:rPr>
              <w:t>一、关于民法总则适用的法律衔接</w:t>
            </w:r>
            <w:r>
              <w:rPr>
                <w:noProof/>
                <w:webHidden/>
              </w:rPr>
              <w:tab/>
            </w:r>
            <w:r>
              <w:rPr>
                <w:noProof/>
                <w:webHidden/>
              </w:rPr>
              <w:fldChar w:fldCharType="begin"/>
            </w:r>
            <w:r>
              <w:rPr>
                <w:noProof/>
                <w:webHidden/>
              </w:rPr>
              <w:instrText xml:space="preserve"> PAGEREF _Toc24657747 \h </w:instrText>
            </w:r>
            <w:r>
              <w:rPr>
                <w:noProof/>
                <w:webHidden/>
              </w:rPr>
            </w:r>
            <w:r>
              <w:rPr>
                <w:noProof/>
                <w:webHidden/>
              </w:rPr>
              <w:fldChar w:fldCharType="separate"/>
            </w:r>
            <w:r>
              <w:rPr>
                <w:noProof/>
                <w:webHidden/>
              </w:rPr>
              <w:t>4</w:t>
            </w:r>
            <w:r>
              <w:rPr>
                <w:noProof/>
                <w:webHidden/>
              </w:rPr>
              <w:fldChar w:fldCharType="end"/>
            </w:r>
          </w:hyperlink>
        </w:p>
        <w:p w14:paraId="6002C5DD" w14:textId="1E335524" w:rsidR="00076A46" w:rsidRDefault="00076A46">
          <w:pPr>
            <w:pStyle w:val="TOC1"/>
            <w:tabs>
              <w:tab w:val="right" w:leader="dot" w:pos="9345"/>
            </w:tabs>
            <w:rPr>
              <w:noProof/>
            </w:rPr>
          </w:pPr>
          <w:hyperlink w:anchor="_Toc24657748" w:history="1">
            <w:r w:rsidRPr="00C450DD">
              <w:rPr>
                <w:rStyle w:val="a8"/>
                <w:b/>
                <w:bCs/>
                <w:noProof/>
                <w:spacing w:val="30"/>
              </w:rPr>
              <w:t>二、关于公司纠纷案件的审理</w:t>
            </w:r>
            <w:r>
              <w:rPr>
                <w:noProof/>
                <w:webHidden/>
              </w:rPr>
              <w:tab/>
            </w:r>
            <w:r>
              <w:rPr>
                <w:noProof/>
                <w:webHidden/>
              </w:rPr>
              <w:fldChar w:fldCharType="begin"/>
            </w:r>
            <w:r>
              <w:rPr>
                <w:noProof/>
                <w:webHidden/>
              </w:rPr>
              <w:instrText xml:space="preserve"> PAGEREF _Toc24657748 \h </w:instrText>
            </w:r>
            <w:r>
              <w:rPr>
                <w:noProof/>
                <w:webHidden/>
              </w:rPr>
            </w:r>
            <w:r>
              <w:rPr>
                <w:noProof/>
                <w:webHidden/>
              </w:rPr>
              <w:fldChar w:fldCharType="separate"/>
            </w:r>
            <w:r>
              <w:rPr>
                <w:noProof/>
                <w:webHidden/>
              </w:rPr>
              <w:t>6</w:t>
            </w:r>
            <w:r>
              <w:rPr>
                <w:noProof/>
                <w:webHidden/>
              </w:rPr>
              <w:fldChar w:fldCharType="end"/>
            </w:r>
          </w:hyperlink>
        </w:p>
        <w:p w14:paraId="656D9F3A" w14:textId="343616ED" w:rsidR="00076A46" w:rsidRDefault="00076A46">
          <w:pPr>
            <w:pStyle w:val="TOC2"/>
            <w:tabs>
              <w:tab w:val="right" w:leader="dot" w:pos="9345"/>
            </w:tabs>
            <w:rPr>
              <w:noProof/>
            </w:rPr>
          </w:pPr>
          <w:hyperlink w:anchor="_Toc24657749" w:history="1">
            <w:r w:rsidRPr="00C450DD">
              <w:rPr>
                <w:rStyle w:val="a8"/>
                <w:b/>
                <w:bCs/>
                <w:noProof/>
                <w:spacing w:val="30"/>
              </w:rPr>
              <w:t>（一）关于“对赌协议”的效力及履行</w:t>
            </w:r>
            <w:r>
              <w:rPr>
                <w:noProof/>
                <w:webHidden/>
              </w:rPr>
              <w:tab/>
            </w:r>
            <w:r>
              <w:rPr>
                <w:noProof/>
                <w:webHidden/>
              </w:rPr>
              <w:fldChar w:fldCharType="begin"/>
            </w:r>
            <w:r>
              <w:rPr>
                <w:noProof/>
                <w:webHidden/>
              </w:rPr>
              <w:instrText xml:space="preserve"> PAGEREF _Toc24657749 \h </w:instrText>
            </w:r>
            <w:r>
              <w:rPr>
                <w:noProof/>
                <w:webHidden/>
              </w:rPr>
            </w:r>
            <w:r>
              <w:rPr>
                <w:noProof/>
                <w:webHidden/>
              </w:rPr>
              <w:fldChar w:fldCharType="separate"/>
            </w:r>
            <w:r>
              <w:rPr>
                <w:noProof/>
                <w:webHidden/>
              </w:rPr>
              <w:t>6</w:t>
            </w:r>
            <w:r>
              <w:rPr>
                <w:noProof/>
                <w:webHidden/>
              </w:rPr>
              <w:fldChar w:fldCharType="end"/>
            </w:r>
          </w:hyperlink>
        </w:p>
        <w:p w14:paraId="39825C25" w14:textId="6735326D" w:rsidR="00076A46" w:rsidRDefault="00076A46">
          <w:pPr>
            <w:pStyle w:val="TOC2"/>
            <w:tabs>
              <w:tab w:val="right" w:leader="dot" w:pos="9345"/>
            </w:tabs>
            <w:rPr>
              <w:noProof/>
            </w:rPr>
          </w:pPr>
          <w:hyperlink w:anchor="_Toc24657750" w:history="1">
            <w:r w:rsidRPr="00C450DD">
              <w:rPr>
                <w:rStyle w:val="a8"/>
                <w:b/>
                <w:bCs/>
                <w:noProof/>
                <w:spacing w:val="30"/>
              </w:rPr>
              <w:t>（二）关于股东出资加速到期及表决权</w:t>
            </w:r>
            <w:r>
              <w:rPr>
                <w:noProof/>
                <w:webHidden/>
              </w:rPr>
              <w:tab/>
            </w:r>
            <w:r>
              <w:rPr>
                <w:noProof/>
                <w:webHidden/>
              </w:rPr>
              <w:fldChar w:fldCharType="begin"/>
            </w:r>
            <w:r>
              <w:rPr>
                <w:noProof/>
                <w:webHidden/>
              </w:rPr>
              <w:instrText xml:space="preserve"> PAGEREF _Toc24657750 \h </w:instrText>
            </w:r>
            <w:r>
              <w:rPr>
                <w:noProof/>
                <w:webHidden/>
              </w:rPr>
            </w:r>
            <w:r>
              <w:rPr>
                <w:noProof/>
                <w:webHidden/>
              </w:rPr>
              <w:fldChar w:fldCharType="separate"/>
            </w:r>
            <w:r>
              <w:rPr>
                <w:noProof/>
                <w:webHidden/>
              </w:rPr>
              <w:t>7</w:t>
            </w:r>
            <w:r>
              <w:rPr>
                <w:noProof/>
                <w:webHidden/>
              </w:rPr>
              <w:fldChar w:fldCharType="end"/>
            </w:r>
          </w:hyperlink>
        </w:p>
        <w:p w14:paraId="5915DCBE" w14:textId="3CB7FE94" w:rsidR="00076A46" w:rsidRDefault="00076A46">
          <w:pPr>
            <w:pStyle w:val="TOC2"/>
            <w:tabs>
              <w:tab w:val="right" w:leader="dot" w:pos="9345"/>
            </w:tabs>
            <w:rPr>
              <w:noProof/>
            </w:rPr>
          </w:pPr>
          <w:hyperlink w:anchor="_Toc24657751" w:history="1">
            <w:r w:rsidRPr="00C450DD">
              <w:rPr>
                <w:rStyle w:val="a8"/>
                <w:b/>
                <w:bCs/>
                <w:noProof/>
                <w:spacing w:val="30"/>
              </w:rPr>
              <w:t>（三）关于股权转让</w:t>
            </w:r>
            <w:r>
              <w:rPr>
                <w:noProof/>
                <w:webHidden/>
              </w:rPr>
              <w:tab/>
            </w:r>
            <w:r>
              <w:rPr>
                <w:noProof/>
                <w:webHidden/>
              </w:rPr>
              <w:fldChar w:fldCharType="begin"/>
            </w:r>
            <w:r>
              <w:rPr>
                <w:noProof/>
                <w:webHidden/>
              </w:rPr>
              <w:instrText xml:space="preserve"> PAGEREF _Toc24657751 \h </w:instrText>
            </w:r>
            <w:r>
              <w:rPr>
                <w:noProof/>
                <w:webHidden/>
              </w:rPr>
            </w:r>
            <w:r>
              <w:rPr>
                <w:noProof/>
                <w:webHidden/>
              </w:rPr>
              <w:fldChar w:fldCharType="separate"/>
            </w:r>
            <w:r>
              <w:rPr>
                <w:noProof/>
                <w:webHidden/>
              </w:rPr>
              <w:t>8</w:t>
            </w:r>
            <w:r>
              <w:rPr>
                <w:noProof/>
                <w:webHidden/>
              </w:rPr>
              <w:fldChar w:fldCharType="end"/>
            </w:r>
          </w:hyperlink>
        </w:p>
        <w:p w14:paraId="36C2550B" w14:textId="713A16A8" w:rsidR="00076A46" w:rsidRDefault="00076A46">
          <w:pPr>
            <w:pStyle w:val="TOC2"/>
            <w:tabs>
              <w:tab w:val="right" w:leader="dot" w:pos="9345"/>
            </w:tabs>
            <w:rPr>
              <w:noProof/>
            </w:rPr>
          </w:pPr>
          <w:hyperlink w:anchor="_Toc24657752" w:history="1">
            <w:r w:rsidRPr="00C450DD">
              <w:rPr>
                <w:rStyle w:val="a8"/>
                <w:b/>
                <w:bCs/>
                <w:noProof/>
                <w:spacing w:val="30"/>
              </w:rPr>
              <w:t>（四）关于公司人格否认</w:t>
            </w:r>
            <w:r>
              <w:rPr>
                <w:noProof/>
                <w:webHidden/>
              </w:rPr>
              <w:tab/>
            </w:r>
            <w:r>
              <w:rPr>
                <w:noProof/>
                <w:webHidden/>
              </w:rPr>
              <w:fldChar w:fldCharType="begin"/>
            </w:r>
            <w:r>
              <w:rPr>
                <w:noProof/>
                <w:webHidden/>
              </w:rPr>
              <w:instrText xml:space="preserve"> PAGEREF _Toc24657752 \h </w:instrText>
            </w:r>
            <w:r>
              <w:rPr>
                <w:noProof/>
                <w:webHidden/>
              </w:rPr>
            </w:r>
            <w:r>
              <w:rPr>
                <w:noProof/>
                <w:webHidden/>
              </w:rPr>
              <w:fldChar w:fldCharType="separate"/>
            </w:r>
            <w:r>
              <w:rPr>
                <w:noProof/>
                <w:webHidden/>
              </w:rPr>
              <w:t>8</w:t>
            </w:r>
            <w:r>
              <w:rPr>
                <w:noProof/>
                <w:webHidden/>
              </w:rPr>
              <w:fldChar w:fldCharType="end"/>
            </w:r>
          </w:hyperlink>
        </w:p>
        <w:p w14:paraId="58454FAD" w14:textId="692A478B" w:rsidR="00076A46" w:rsidRDefault="00076A46">
          <w:pPr>
            <w:pStyle w:val="TOC2"/>
            <w:tabs>
              <w:tab w:val="right" w:leader="dot" w:pos="9345"/>
            </w:tabs>
            <w:rPr>
              <w:noProof/>
            </w:rPr>
          </w:pPr>
          <w:hyperlink w:anchor="_Toc24657753" w:history="1">
            <w:r w:rsidRPr="00C450DD">
              <w:rPr>
                <w:rStyle w:val="a8"/>
                <w:b/>
                <w:bCs/>
                <w:noProof/>
                <w:spacing w:val="30"/>
              </w:rPr>
              <w:t>（五）关于有限责任公司清算义务人的责任</w:t>
            </w:r>
            <w:r>
              <w:rPr>
                <w:noProof/>
                <w:webHidden/>
              </w:rPr>
              <w:tab/>
            </w:r>
            <w:r>
              <w:rPr>
                <w:noProof/>
                <w:webHidden/>
              </w:rPr>
              <w:fldChar w:fldCharType="begin"/>
            </w:r>
            <w:r>
              <w:rPr>
                <w:noProof/>
                <w:webHidden/>
              </w:rPr>
              <w:instrText xml:space="preserve"> PAGEREF _Toc24657753 \h </w:instrText>
            </w:r>
            <w:r>
              <w:rPr>
                <w:noProof/>
                <w:webHidden/>
              </w:rPr>
            </w:r>
            <w:r>
              <w:rPr>
                <w:noProof/>
                <w:webHidden/>
              </w:rPr>
              <w:fldChar w:fldCharType="separate"/>
            </w:r>
            <w:r>
              <w:rPr>
                <w:noProof/>
                <w:webHidden/>
              </w:rPr>
              <w:t>11</w:t>
            </w:r>
            <w:r>
              <w:rPr>
                <w:noProof/>
                <w:webHidden/>
              </w:rPr>
              <w:fldChar w:fldCharType="end"/>
            </w:r>
          </w:hyperlink>
        </w:p>
        <w:p w14:paraId="760E8107" w14:textId="1BB5AF9D" w:rsidR="00076A46" w:rsidRDefault="00076A46">
          <w:pPr>
            <w:pStyle w:val="TOC2"/>
            <w:tabs>
              <w:tab w:val="right" w:leader="dot" w:pos="9345"/>
            </w:tabs>
            <w:rPr>
              <w:noProof/>
            </w:rPr>
          </w:pPr>
          <w:hyperlink w:anchor="_Toc24657754" w:history="1">
            <w:r w:rsidRPr="00C450DD">
              <w:rPr>
                <w:rStyle w:val="a8"/>
                <w:b/>
                <w:bCs/>
                <w:noProof/>
                <w:spacing w:val="30"/>
              </w:rPr>
              <w:t>（六）关于公司为他人提供担保</w:t>
            </w:r>
            <w:r>
              <w:rPr>
                <w:noProof/>
                <w:webHidden/>
              </w:rPr>
              <w:tab/>
            </w:r>
            <w:r>
              <w:rPr>
                <w:noProof/>
                <w:webHidden/>
              </w:rPr>
              <w:fldChar w:fldCharType="begin"/>
            </w:r>
            <w:r>
              <w:rPr>
                <w:noProof/>
                <w:webHidden/>
              </w:rPr>
              <w:instrText xml:space="preserve"> PAGEREF _Toc24657754 \h </w:instrText>
            </w:r>
            <w:r>
              <w:rPr>
                <w:noProof/>
                <w:webHidden/>
              </w:rPr>
            </w:r>
            <w:r>
              <w:rPr>
                <w:noProof/>
                <w:webHidden/>
              </w:rPr>
              <w:fldChar w:fldCharType="separate"/>
            </w:r>
            <w:r>
              <w:rPr>
                <w:noProof/>
                <w:webHidden/>
              </w:rPr>
              <w:t>12</w:t>
            </w:r>
            <w:r>
              <w:rPr>
                <w:noProof/>
                <w:webHidden/>
              </w:rPr>
              <w:fldChar w:fldCharType="end"/>
            </w:r>
          </w:hyperlink>
        </w:p>
        <w:p w14:paraId="2578D9F0" w14:textId="051701BB" w:rsidR="00076A46" w:rsidRDefault="00076A46">
          <w:pPr>
            <w:pStyle w:val="TOC2"/>
            <w:tabs>
              <w:tab w:val="right" w:leader="dot" w:pos="9345"/>
            </w:tabs>
            <w:rPr>
              <w:noProof/>
            </w:rPr>
          </w:pPr>
          <w:hyperlink w:anchor="_Toc24657755" w:history="1">
            <w:r w:rsidRPr="00C450DD">
              <w:rPr>
                <w:rStyle w:val="a8"/>
                <w:b/>
                <w:bCs/>
                <w:noProof/>
                <w:spacing w:val="30"/>
              </w:rPr>
              <w:t>（七）关于股东代表诉讼</w:t>
            </w:r>
            <w:r>
              <w:rPr>
                <w:noProof/>
                <w:webHidden/>
              </w:rPr>
              <w:tab/>
            </w:r>
            <w:r>
              <w:rPr>
                <w:noProof/>
                <w:webHidden/>
              </w:rPr>
              <w:fldChar w:fldCharType="begin"/>
            </w:r>
            <w:r>
              <w:rPr>
                <w:noProof/>
                <w:webHidden/>
              </w:rPr>
              <w:instrText xml:space="preserve"> PAGEREF _Toc24657755 \h </w:instrText>
            </w:r>
            <w:r>
              <w:rPr>
                <w:noProof/>
                <w:webHidden/>
              </w:rPr>
            </w:r>
            <w:r>
              <w:rPr>
                <w:noProof/>
                <w:webHidden/>
              </w:rPr>
              <w:fldChar w:fldCharType="separate"/>
            </w:r>
            <w:r>
              <w:rPr>
                <w:noProof/>
                <w:webHidden/>
              </w:rPr>
              <w:t>14</w:t>
            </w:r>
            <w:r>
              <w:rPr>
                <w:noProof/>
                <w:webHidden/>
              </w:rPr>
              <w:fldChar w:fldCharType="end"/>
            </w:r>
          </w:hyperlink>
        </w:p>
        <w:p w14:paraId="284D9159" w14:textId="0FCF0DC6" w:rsidR="00076A46" w:rsidRDefault="00076A46">
          <w:pPr>
            <w:pStyle w:val="TOC2"/>
            <w:tabs>
              <w:tab w:val="right" w:leader="dot" w:pos="9345"/>
            </w:tabs>
            <w:rPr>
              <w:noProof/>
            </w:rPr>
          </w:pPr>
          <w:hyperlink w:anchor="_Toc24657756" w:history="1">
            <w:r w:rsidRPr="00C450DD">
              <w:rPr>
                <w:rStyle w:val="a8"/>
                <w:b/>
                <w:bCs/>
                <w:noProof/>
                <w:spacing w:val="30"/>
              </w:rPr>
              <w:t>（八）其他问题</w:t>
            </w:r>
            <w:r>
              <w:rPr>
                <w:noProof/>
                <w:webHidden/>
              </w:rPr>
              <w:tab/>
            </w:r>
            <w:r>
              <w:rPr>
                <w:noProof/>
                <w:webHidden/>
              </w:rPr>
              <w:fldChar w:fldCharType="begin"/>
            </w:r>
            <w:r>
              <w:rPr>
                <w:noProof/>
                <w:webHidden/>
              </w:rPr>
              <w:instrText xml:space="preserve"> PAGEREF _Toc24657756 \h </w:instrText>
            </w:r>
            <w:r>
              <w:rPr>
                <w:noProof/>
                <w:webHidden/>
              </w:rPr>
            </w:r>
            <w:r>
              <w:rPr>
                <w:noProof/>
                <w:webHidden/>
              </w:rPr>
              <w:fldChar w:fldCharType="separate"/>
            </w:r>
            <w:r>
              <w:rPr>
                <w:noProof/>
                <w:webHidden/>
              </w:rPr>
              <w:t>14</w:t>
            </w:r>
            <w:r>
              <w:rPr>
                <w:noProof/>
                <w:webHidden/>
              </w:rPr>
              <w:fldChar w:fldCharType="end"/>
            </w:r>
          </w:hyperlink>
        </w:p>
        <w:p w14:paraId="42CDCFE9" w14:textId="17D8F86C" w:rsidR="00076A46" w:rsidRDefault="00076A46">
          <w:pPr>
            <w:pStyle w:val="TOC1"/>
            <w:tabs>
              <w:tab w:val="right" w:leader="dot" w:pos="9345"/>
            </w:tabs>
            <w:rPr>
              <w:noProof/>
            </w:rPr>
          </w:pPr>
          <w:hyperlink w:anchor="_Toc24657757" w:history="1">
            <w:r w:rsidRPr="00C450DD">
              <w:rPr>
                <w:rStyle w:val="a8"/>
                <w:b/>
                <w:bCs/>
                <w:noProof/>
                <w:spacing w:val="30"/>
              </w:rPr>
              <w:t>三、关于合同纠纷案件的审理</w:t>
            </w:r>
            <w:r>
              <w:rPr>
                <w:noProof/>
                <w:webHidden/>
              </w:rPr>
              <w:tab/>
            </w:r>
            <w:r>
              <w:rPr>
                <w:noProof/>
                <w:webHidden/>
              </w:rPr>
              <w:fldChar w:fldCharType="begin"/>
            </w:r>
            <w:r>
              <w:rPr>
                <w:noProof/>
                <w:webHidden/>
              </w:rPr>
              <w:instrText xml:space="preserve"> PAGEREF _Toc24657757 \h </w:instrText>
            </w:r>
            <w:r>
              <w:rPr>
                <w:noProof/>
                <w:webHidden/>
              </w:rPr>
            </w:r>
            <w:r>
              <w:rPr>
                <w:noProof/>
                <w:webHidden/>
              </w:rPr>
              <w:fldChar w:fldCharType="separate"/>
            </w:r>
            <w:r>
              <w:rPr>
                <w:noProof/>
                <w:webHidden/>
              </w:rPr>
              <w:t>15</w:t>
            </w:r>
            <w:r>
              <w:rPr>
                <w:noProof/>
                <w:webHidden/>
              </w:rPr>
              <w:fldChar w:fldCharType="end"/>
            </w:r>
          </w:hyperlink>
        </w:p>
        <w:p w14:paraId="6CADE98B" w14:textId="484807E8" w:rsidR="00076A46" w:rsidRDefault="00076A46">
          <w:pPr>
            <w:pStyle w:val="TOC2"/>
            <w:tabs>
              <w:tab w:val="right" w:leader="dot" w:pos="9345"/>
            </w:tabs>
            <w:rPr>
              <w:noProof/>
            </w:rPr>
          </w:pPr>
          <w:hyperlink w:anchor="_Toc24657758" w:history="1">
            <w:r w:rsidRPr="00C450DD">
              <w:rPr>
                <w:rStyle w:val="a8"/>
                <w:b/>
                <w:bCs/>
                <w:noProof/>
                <w:spacing w:val="30"/>
              </w:rPr>
              <w:t>（一）关于合同效力</w:t>
            </w:r>
            <w:r>
              <w:rPr>
                <w:noProof/>
                <w:webHidden/>
              </w:rPr>
              <w:tab/>
            </w:r>
            <w:r>
              <w:rPr>
                <w:noProof/>
                <w:webHidden/>
              </w:rPr>
              <w:fldChar w:fldCharType="begin"/>
            </w:r>
            <w:r>
              <w:rPr>
                <w:noProof/>
                <w:webHidden/>
              </w:rPr>
              <w:instrText xml:space="preserve"> PAGEREF _Toc24657758 \h </w:instrText>
            </w:r>
            <w:r>
              <w:rPr>
                <w:noProof/>
                <w:webHidden/>
              </w:rPr>
            </w:r>
            <w:r>
              <w:rPr>
                <w:noProof/>
                <w:webHidden/>
              </w:rPr>
              <w:fldChar w:fldCharType="separate"/>
            </w:r>
            <w:r>
              <w:rPr>
                <w:noProof/>
                <w:webHidden/>
              </w:rPr>
              <w:t>15</w:t>
            </w:r>
            <w:r>
              <w:rPr>
                <w:noProof/>
                <w:webHidden/>
              </w:rPr>
              <w:fldChar w:fldCharType="end"/>
            </w:r>
          </w:hyperlink>
        </w:p>
        <w:p w14:paraId="66E579C5" w14:textId="6F7D8FD6" w:rsidR="00076A46" w:rsidRDefault="00076A46">
          <w:pPr>
            <w:pStyle w:val="TOC2"/>
            <w:tabs>
              <w:tab w:val="right" w:leader="dot" w:pos="9345"/>
            </w:tabs>
            <w:rPr>
              <w:noProof/>
            </w:rPr>
          </w:pPr>
          <w:hyperlink w:anchor="_Toc24657759" w:history="1">
            <w:r w:rsidRPr="00C450DD">
              <w:rPr>
                <w:rStyle w:val="a8"/>
                <w:b/>
                <w:bCs/>
                <w:noProof/>
                <w:spacing w:val="30"/>
              </w:rPr>
              <w:t>（二）关于合同履行与救济</w:t>
            </w:r>
            <w:r>
              <w:rPr>
                <w:noProof/>
                <w:webHidden/>
              </w:rPr>
              <w:tab/>
            </w:r>
            <w:r>
              <w:rPr>
                <w:noProof/>
                <w:webHidden/>
              </w:rPr>
              <w:fldChar w:fldCharType="begin"/>
            </w:r>
            <w:r>
              <w:rPr>
                <w:noProof/>
                <w:webHidden/>
              </w:rPr>
              <w:instrText xml:space="preserve"> PAGEREF _Toc24657759 \h </w:instrText>
            </w:r>
            <w:r>
              <w:rPr>
                <w:noProof/>
                <w:webHidden/>
              </w:rPr>
            </w:r>
            <w:r>
              <w:rPr>
                <w:noProof/>
                <w:webHidden/>
              </w:rPr>
              <w:fldChar w:fldCharType="separate"/>
            </w:r>
            <w:r>
              <w:rPr>
                <w:noProof/>
                <w:webHidden/>
              </w:rPr>
              <w:t>19</w:t>
            </w:r>
            <w:r>
              <w:rPr>
                <w:noProof/>
                <w:webHidden/>
              </w:rPr>
              <w:fldChar w:fldCharType="end"/>
            </w:r>
          </w:hyperlink>
        </w:p>
        <w:p w14:paraId="0C7D7993" w14:textId="32FA6732" w:rsidR="00076A46" w:rsidRDefault="00076A46">
          <w:pPr>
            <w:pStyle w:val="TOC2"/>
            <w:tabs>
              <w:tab w:val="right" w:leader="dot" w:pos="9345"/>
            </w:tabs>
            <w:rPr>
              <w:noProof/>
            </w:rPr>
          </w:pPr>
          <w:hyperlink w:anchor="_Toc24657760" w:history="1">
            <w:r w:rsidRPr="00C450DD">
              <w:rPr>
                <w:rStyle w:val="a8"/>
                <w:b/>
                <w:bCs/>
                <w:noProof/>
                <w:spacing w:val="30"/>
              </w:rPr>
              <w:t>（三）关于借款合同</w:t>
            </w:r>
            <w:r>
              <w:rPr>
                <w:noProof/>
                <w:webHidden/>
              </w:rPr>
              <w:tab/>
            </w:r>
            <w:r>
              <w:rPr>
                <w:noProof/>
                <w:webHidden/>
              </w:rPr>
              <w:fldChar w:fldCharType="begin"/>
            </w:r>
            <w:r>
              <w:rPr>
                <w:noProof/>
                <w:webHidden/>
              </w:rPr>
              <w:instrText xml:space="preserve"> PAGEREF _Toc24657760 \h </w:instrText>
            </w:r>
            <w:r>
              <w:rPr>
                <w:noProof/>
                <w:webHidden/>
              </w:rPr>
            </w:r>
            <w:r>
              <w:rPr>
                <w:noProof/>
                <w:webHidden/>
              </w:rPr>
              <w:fldChar w:fldCharType="separate"/>
            </w:r>
            <w:r>
              <w:rPr>
                <w:noProof/>
                <w:webHidden/>
              </w:rPr>
              <w:t>21</w:t>
            </w:r>
            <w:r>
              <w:rPr>
                <w:noProof/>
                <w:webHidden/>
              </w:rPr>
              <w:fldChar w:fldCharType="end"/>
            </w:r>
          </w:hyperlink>
        </w:p>
        <w:p w14:paraId="44ADAB4F" w14:textId="292063A8" w:rsidR="00076A46" w:rsidRDefault="00076A46">
          <w:pPr>
            <w:pStyle w:val="TOC1"/>
            <w:tabs>
              <w:tab w:val="right" w:leader="dot" w:pos="9345"/>
            </w:tabs>
            <w:rPr>
              <w:noProof/>
            </w:rPr>
          </w:pPr>
          <w:hyperlink w:anchor="_Toc24657761" w:history="1">
            <w:r w:rsidRPr="00C450DD">
              <w:rPr>
                <w:rStyle w:val="a8"/>
                <w:b/>
                <w:bCs/>
                <w:noProof/>
                <w:spacing w:val="30"/>
              </w:rPr>
              <w:t>四、关于担保纠纷案件的审理</w:t>
            </w:r>
            <w:r>
              <w:rPr>
                <w:noProof/>
                <w:webHidden/>
              </w:rPr>
              <w:tab/>
            </w:r>
            <w:r>
              <w:rPr>
                <w:noProof/>
                <w:webHidden/>
              </w:rPr>
              <w:fldChar w:fldCharType="begin"/>
            </w:r>
            <w:r>
              <w:rPr>
                <w:noProof/>
                <w:webHidden/>
              </w:rPr>
              <w:instrText xml:space="preserve"> PAGEREF _Toc24657761 \h </w:instrText>
            </w:r>
            <w:r>
              <w:rPr>
                <w:noProof/>
                <w:webHidden/>
              </w:rPr>
            </w:r>
            <w:r>
              <w:rPr>
                <w:noProof/>
                <w:webHidden/>
              </w:rPr>
              <w:fldChar w:fldCharType="separate"/>
            </w:r>
            <w:r>
              <w:rPr>
                <w:noProof/>
                <w:webHidden/>
              </w:rPr>
              <w:t>22</w:t>
            </w:r>
            <w:r>
              <w:rPr>
                <w:noProof/>
                <w:webHidden/>
              </w:rPr>
              <w:fldChar w:fldCharType="end"/>
            </w:r>
          </w:hyperlink>
        </w:p>
        <w:p w14:paraId="5591C44C" w14:textId="251610B1" w:rsidR="00076A46" w:rsidRDefault="00076A46">
          <w:pPr>
            <w:pStyle w:val="TOC2"/>
            <w:tabs>
              <w:tab w:val="right" w:leader="dot" w:pos="9345"/>
            </w:tabs>
            <w:rPr>
              <w:noProof/>
            </w:rPr>
          </w:pPr>
          <w:hyperlink w:anchor="_Toc24657762" w:history="1">
            <w:r w:rsidRPr="00C450DD">
              <w:rPr>
                <w:rStyle w:val="a8"/>
                <w:b/>
                <w:bCs/>
                <w:noProof/>
                <w:spacing w:val="30"/>
              </w:rPr>
              <w:t>（一）关于担保的一般规则</w:t>
            </w:r>
            <w:r>
              <w:rPr>
                <w:noProof/>
                <w:webHidden/>
              </w:rPr>
              <w:tab/>
            </w:r>
            <w:r>
              <w:rPr>
                <w:noProof/>
                <w:webHidden/>
              </w:rPr>
              <w:fldChar w:fldCharType="begin"/>
            </w:r>
            <w:r>
              <w:rPr>
                <w:noProof/>
                <w:webHidden/>
              </w:rPr>
              <w:instrText xml:space="preserve"> PAGEREF _Toc24657762 \h </w:instrText>
            </w:r>
            <w:r>
              <w:rPr>
                <w:noProof/>
                <w:webHidden/>
              </w:rPr>
            </w:r>
            <w:r>
              <w:rPr>
                <w:noProof/>
                <w:webHidden/>
              </w:rPr>
              <w:fldChar w:fldCharType="separate"/>
            </w:r>
            <w:r>
              <w:rPr>
                <w:noProof/>
                <w:webHidden/>
              </w:rPr>
              <w:t>23</w:t>
            </w:r>
            <w:r>
              <w:rPr>
                <w:noProof/>
                <w:webHidden/>
              </w:rPr>
              <w:fldChar w:fldCharType="end"/>
            </w:r>
          </w:hyperlink>
        </w:p>
        <w:p w14:paraId="54248634" w14:textId="586B4776" w:rsidR="00076A46" w:rsidRDefault="00076A46">
          <w:pPr>
            <w:pStyle w:val="TOC2"/>
            <w:tabs>
              <w:tab w:val="right" w:leader="dot" w:pos="9345"/>
            </w:tabs>
            <w:rPr>
              <w:noProof/>
            </w:rPr>
          </w:pPr>
          <w:hyperlink w:anchor="_Toc24657763" w:history="1">
            <w:r w:rsidRPr="00C450DD">
              <w:rPr>
                <w:rStyle w:val="a8"/>
                <w:b/>
                <w:bCs/>
                <w:noProof/>
                <w:spacing w:val="30"/>
              </w:rPr>
              <w:t>（二）关于不动产担保物权</w:t>
            </w:r>
            <w:r>
              <w:rPr>
                <w:noProof/>
                <w:webHidden/>
              </w:rPr>
              <w:tab/>
            </w:r>
            <w:r>
              <w:rPr>
                <w:noProof/>
                <w:webHidden/>
              </w:rPr>
              <w:fldChar w:fldCharType="begin"/>
            </w:r>
            <w:r>
              <w:rPr>
                <w:noProof/>
                <w:webHidden/>
              </w:rPr>
              <w:instrText xml:space="preserve"> PAGEREF _Toc24657763 \h </w:instrText>
            </w:r>
            <w:r>
              <w:rPr>
                <w:noProof/>
                <w:webHidden/>
              </w:rPr>
            </w:r>
            <w:r>
              <w:rPr>
                <w:noProof/>
                <w:webHidden/>
              </w:rPr>
              <w:fldChar w:fldCharType="separate"/>
            </w:r>
            <w:r>
              <w:rPr>
                <w:noProof/>
                <w:webHidden/>
              </w:rPr>
              <w:t>24</w:t>
            </w:r>
            <w:r>
              <w:rPr>
                <w:noProof/>
                <w:webHidden/>
              </w:rPr>
              <w:fldChar w:fldCharType="end"/>
            </w:r>
          </w:hyperlink>
        </w:p>
        <w:p w14:paraId="183D56A1" w14:textId="234575F6" w:rsidR="00076A46" w:rsidRDefault="00076A46">
          <w:pPr>
            <w:pStyle w:val="TOC2"/>
            <w:tabs>
              <w:tab w:val="right" w:leader="dot" w:pos="9345"/>
            </w:tabs>
            <w:rPr>
              <w:noProof/>
            </w:rPr>
          </w:pPr>
          <w:hyperlink w:anchor="_Toc24657764" w:history="1">
            <w:r w:rsidRPr="00C450DD">
              <w:rPr>
                <w:rStyle w:val="a8"/>
                <w:b/>
                <w:bCs/>
                <w:noProof/>
                <w:spacing w:val="30"/>
              </w:rPr>
              <w:t>（三）关于动产担保物权</w:t>
            </w:r>
            <w:r>
              <w:rPr>
                <w:noProof/>
                <w:webHidden/>
              </w:rPr>
              <w:tab/>
            </w:r>
            <w:r>
              <w:rPr>
                <w:noProof/>
                <w:webHidden/>
              </w:rPr>
              <w:fldChar w:fldCharType="begin"/>
            </w:r>
            <w:r>
              <w:rPr>
                <w:noProof/>
                <w:webHidden/>
              </w:rPr>
              <w:instrText xml:space="preserve"> PAGEREF _Toc24657764 \h </w:instrText>
            </w:r>
            <w:r>
              <w:rPr>
                <w:noProof/>
                <w:webHidden/>
              </w:rPr>
            </w:r>
            <w:r>
              <w:rPr>
                <w:noProof/>
                <w:webHidden/>
              </w:rPr>
              <w:fldChar w:fldCharType="separate"/>
            </w:r>
            <w:r>
              <w:rPr>
                <w:noProof/>
                <w:webHidden/>
              </w:rPr>
              <w:t>25</w:t>
            </w:r>
            <w:r>
              <w:rPr>
                <w:noProof/>
                <w:webHidden/>
              </w:rPr>
              <w:fldChar w:fldCharType="end"/>
            </w:r>
          </w:hyperlink>
        </w:p>
        <w:p w14:paraId="04311AE2" w14:textId="1DFAC4CC" w:rsidR="00076A46" w:rsidRDefault="00076A46">
          <w:pPr>
            <w:pStyle w:val="TOC2"/>
            <w:tabs>
              <w:tab w:val="right" w:leader="dot" w:pos="9345"/>
            </w:tabs>
            <w:rPr>
              <w:noProof/>
            </w:rPr>
          </w:pPr>
          <w:hyperlink w:anchor="_Toc24657765" w:history="1">
            <w:r w:rsidRPr="00C450DD">
              <w:rPr>
                <w:rStyle w:val="a8"/>
                <w:b/>
                <w:bCs/>
                <w:noProof/>
                <w:spacing w:val="30"/>
              </w:rPr>
              <w:t>（四）关于非典型担保</w:t>
            </w:r>
            <w:r>
              <w:rPr>
                <w:noProof/>
                <w:webHidden/>
              </w:rPr>
              <w:tab/>
            </w:r>
            <w:r>
              <w:rPr>
                <w:noProof/>
                <w:webHidden/>
              </w:rPr>
              <w:fldChar w:fldCharType="begin"/>
            </w:r>
            <w:r>
              <w:rPr>
                <w:noProof/>
                <w:webHidden/>
              </w:rPr>
              <w:instrText xml:space="preserve"> PAGEREF _Toc24657765 \h </w:instrText>
            </w:r>
            <w:r>
              <w:rPr>
                <w:noProof/>
                <w:webHidden/>
              </w:rPr>
            </w:r>
            <w:r>
              <w:rPr>
                <w:noProof/>
                <w:webHidden/>
              </w:rPr>
              <w:fldChar w:fldCharType="separate"/>
            </w:r>
            <w:r>
              <w:rPr>
                <w:noProof/>
                <w:webHidden/>
              </w:rPr>
              <w:t>26</w:t>
            </w:r>
            <w:r>
              <w:rPr>
                <w:noProof/>
                <w:webHidden/>
              </w:rPr>
              <w:fldChar w:fldCharType="end"/>
            </w:r>
          </w:hyperlink>
        </w:p>
        <w:p w14:paraId="6AE11303" w14:textId="56BC6E07" w:rsidR="00076A46" w:rsidRDefault="00076A46">
          <w:pPr>
            <w:pStyle w:val="TOC1"/>
            <w:tabs>
              <w:tab w:val="right" w:leader="dot" w:pos="9345"/>
            </w:tabs>
            <w:rPr>
              <w:noProof/>
            </w:rPr>
          </w:pPr>
          <w:hyperlink w:anchor="_Toc24657766" w:history="1">
            <w:r w:rsidRPr="00C450DD">
              <w:rPr>
                <w:rStyle w:val="a8"/>
                <w:b/>
                <w:bCs/>
                <w:noProof/>
                <w:spacing w:val="30"/>
              </w:rPr>
              <w:t>五、关于金融消费者权益保护纠纷案件的审理</w:t>
            </w:r>
            <w:r>
              <w:rPr>
                <w:noProof/>
                <w:webHidden/>
              </w:rPr>
              <w:tab/>
            </w:r>
            <w:r>
              <w:rPr>
                <w:noProof/>
                <w:webHidden/>
              </w:rPr>
              <w:fldChar w:fldCharType="begin"/>
            </w:r>
            <w:r>
              <w:rPr>
                <w:noProof/>
                <w:webHidden/>
              </w:rPr>
              <w:instrText xml:space="preserve"> PAGEREF _Toc24657766 \h </w:instrText>
            </w:r>
            <w:r>
              <w:rPr>
                <w:noProof/>
                <w:webHidden/>
              </w:rPr>
            </w:r>
            <w:r>
              <w:rPr>
                <w:noProof/>
                <w:webHidden/>
              </w:rPr>
              <w:fldChar w:fldCharType="separate"/>
            </w:r>
            <w:r>
              <w:rPr>
                <w:noProof/>
                <w:webHidden/>
              </w:rPr>
              <w:t>27</w:t>
            </w:r>
            <w:r>
              <w:rPr>
                <w:noProof/>
                <w:webHidden/>
              </w:rPr>
              <w:fldChar w:fldCharType="end"/>
            </w:r>
          </w:hyperlink>
        </w:p>
        <w:p w14:paraId="57A33BCC" w14:textId="2D35036D" w:rsidR="00076A46" w:rsidRDefault="00076A46">
          <w:pPr>
            <w:pStyle w:val="TOC1"/>
            <w:tabs>
              <w:tab w:val="right" w:leader="dot" w:pos="9345"/>
            </w:tabs>
            <w:rPr>
              <w:noProof/>
            </w:rPr>
          </w:pPr>
          <w:hyperlink w:anchor="_Toc24657767" w:history="1">
            <w:r w:rsidRPr="00C450DD">
              <w:rPr>
                <w:rStyle w:val="a8"/>
                <w:b/>
                <w:bCs/>
                <w:noProof/>
                <w:spacing w:val="30"/>
              </w:rPr>
              <w:t>六、关于证券纠纷案件的审理</w:t>
            </w:r>
            <w:r>
              <w:rPr>
                <w:noProof/>
                <w:webHidden/>
              </w:rPr>
              <w:tab/>
            </w:r>
            <w:r>
              <w:rPr>
                <w:noProof/>
                <w:webHidden/>
              </w:rPr>
              <w:fldChar w:fldCharType="begin"/>
            </w:r>
            <w:r>
              <w:rPr>
                <w:noProof/>
                <w:webHidden/>
              </w:rPr>
              <w:instrText xml:space="preserve"> PAGEREF _Toc24657767 \h </w:instrText>
            </w:r>
            <w:r>
              <w:rPr>
                <w:noProof/>
                <w:webHidden/>
              </w:rPr>
            </w:r>
            <w:r>
              <w:rPr>
                <w:noProof/>
                <w:webHidden/>
              </w:rPr>
              <w:fldChar w:fldCharType="separate"/>
            </w:r>
            <w:r>
              <w:rPr>
                <w:noProof/>
                <w:webHidden/>
              </w:rPr>
              <w:t>30</w:t>
            </w:r>
            <w:r>
              <w:rPr>
                <w:noProof/>
                <w:webHidden/>
              </w:rPr>
              <w:fldChar w:fldCharType="end"/>
            </w:r>
          </w:hyperlink>
        </w:p>
        <w:p w14:paraId="2C39D58E" w14:textId="44EFF096" w:rsidR="00076A46" w:rsidRDefault="00076A46">
          <w:pPr>
            <w:pStyle w:val="TOC2"/>
            <w:tabs>
              <w:tab w:val="right" w:leader="dot" w:pos="9345"/>
            </w:tabs>
            <w:rPr>
              <w:noProof/>
            </w:rPr>
          </w:pPr>
          <w:hyperlink w:anchor="_Toc24657768" w:history="1">
            <w:r w:rsidRPr="00C450DD">
              <w:rPr>
                <w:rStyle w:val="a8"/>
                <w:b/>
                <w:bCs/>
                <w:noProof/>
                <w:spacing w:val="30"/>
              </w:rPr>
              <w:t>（一）关于证券虚假陈述</w:t>
            </w:r>
            <w:r>
              <w:rPr>
                <w:noProof/>
                <w:webHidden/>
              </w:rPr>
              <w:tab/>
            </w:r>
            <w:r>
              <w:rPr>
                <w:noProof/>
                <w:webHidden/>
              </w:rPr>
              <w:fldChar w:fldCharType="begin"/>
            </w:r>
            <w:r>
              <w:rPr>
                <w:noProof/>
                <w:webHidden/>
              </w:rPr>
              <w:instrText xml:space="preserve"> PAGEREF _Toc24657768 \h </w:instrText>
            </w:r>
            <w:r>
              <w:rPr>
                <w:noProof/>
                <w:webHidden/>
              </w:rPr>
            </w:r>
            <w:r>
              <w:rPr>
                <w:noProof/>
                <w:webHidden/>
              </w:rPr>
              <w:fldChar w:fldCharType="separate"/>
            </w:r>
            <w:r>
              <w:rPr>
                <w:noProof/>
                <w:webHidden/>
              </w:rPr>
              <w:t>30</w:t>
            </w:r>
            <w:r>
              <w:rPr>
                <w:noProof/>
                <w:webHidden/>
              </w:rPr>
              <w:fldChar w:fldCharType="end"/>
            </w:r>
          </w:hyperlink>
        </w:p>
        <w:p w14:paraId="41C27743" w14:textId="72DE2922" w:rsidR="00076A46" w:rsidRDefault="00076A46">
          <w:pPr>
            <w:pStyle w:val="TOC2"/>
            <w:tabs>
              <w:tab w:val="right" w:leader="dot" w:pos="9345"/>
            </w:tabs>
            <w:rPr>
              <w:noProof/>
            </w:rPr>
          </w:pPr>
          <w:hyperlink w:anchor="_Toc24657769" w:history="1">
            <w:r w:rsidRPr="00C450DD">
              <w:rPr>
                <w:rStyle w:val="a8"/>
                <w:b/>
                <w:bCs/>
                <w:noProof/>
                <w:spacing w:val="30"/>
              </w:rPr>
              <w:t>（二）关于场外配资</w:t>
            </w:r>
            <w:r>
              <w:rPr>
                <w:noProof/>
                <w:webHidden/>
              </w:rPr>
              <w:tab/>
            </w:r>
            <w:r>
              <w:rPr>
                <w:noProof/>
                <w:webHidden/>
              </w:rPr>
              <w:fldChar w:fldCharType="begin"/>
            </w:r>
            <w:r>
              <w:rPr>
                <w:noProof/>
                <w:webHidden/>
              </w:rPr>
              <w:instrText xml:space="preserve"> PAGEREF _Toc24657769 \h </w:instrText>
            </w:r>
            <w:r>
              <w:rPr>
                <w:noProof/>
                <w:webHidden/>
              </w:rPr>
            </w:r>
            <w:r>
              <w:rPr>
                <w:noProof/>
                <w:webHidden/>
              </w:rPr>
              <w:fldChar w:fldCharType="separate"/>
            </w:r>
            <w:r>
              <w:rPr>
                <w:noProof/>
                <w:webHidden/>
              </w:rPr>
              <w:t>31</w:t>
            </w:r>
            <w:r>
              <w:rPr>
                <w:noProof/>
                <w:webHidden/>
              </w:rPr>
              <w:fldChar w:fldCharType="end"/>
            </w:r>
          </w:hyperlink>
        </w:p>
        <w:p w14:paraId="5C66148A" w14:textId="331011B0" w:rsidR="00076A46" w:rsidRDefault="00076A46">
          <w:pPr>
            <w:pStyle w:val="TOC1"/>
            <w:tabs>
              <w:tab w:val="right" w:leader="dot" w:pos="9345"/>
            </w:tabs>
            <w:rPr>
              <w:noProof/>
            </w:rPr>
          </w:pPr>
          <w:hyperlink w:anchor="_Toc24657770" w:history="1">
            <w:r w:rsidRPr="00C450DD">
              <w:rPr>
                <w:rStyle w:val="a8"/>
                <w:b/>
                <w:bCs/>
                <w:noProof/>
                <w:spacing w:val="30"/>
              </w:rPr>
              <w:t>七、关于营业信托纠纷案件的审理</w:t>
            </w:r>
            <w:r>
              <w:rPr>
                <w:noProof/>
                <w:webHidden/>
              </w:rPr>
              <w:tab/>
            </w:r>
            <w:r>
              <w:rPr>
                <w:noProof/>
                <w:webHidden/>
              </w:rPr>
              <w:fldChar w:fldCharType="begin"/>
            </w:r>
            <w:r>
              <w:rPr>
                <w:noProof/>
                <w:webHidden/>
              </w:rPr>
              <w:instrText xml:space="preserve"> PAGEREF _Toc24657770 \h </w:instrText>
            </w:r>
            <w:r>
              <w:rPr>
                <w:noProof/>
                <w:webHidden/>
              </w:rPr>
            </w:r>
            <w:r>
              <w:rPr>
                <w:noProof/>
                <w:webHidden/>
              </w:rPr>
              <w:fldChar w:fldCharType="separate"/>
            </w:r>
            <w:r>
              <w:rPr>
                <w:noProof/>
                <w:webHidden/>
              </w:rPr>
              <w:t>32</w:t>
            </w:r>
            <w:r>
              <w:rPr>
                <w:noProof/>
                <w:webHidden/>
              </w:rPr>
              <w:fldChar w:fldCharType="end"/>
            </w:r>
          </w:hyperlink>
        </w:p>
        <w:p w14:paraId="532ECBBF" w14:textId="37B1D6CD" w:rsidR="00076A46" w:rsidRDefault="00076A46">
          <w:pPr>
            <w:pStyle w:val="TOC1"/>
            <w:tabs>
              <w:tab w:val="right" w:leader="dot" w:pos="9345"/>
            </w:tabs>
            <w:rPr>
              <w:noProof/>
            </w:rPr>
          </w:pPr>
          <w:hyperlink w:anchor="_Toc24657771" w:history="1">
            <w:r w:rsidRPr="00C450DD">
              <w:rPr>
                <w:rStyle w:val="a8"/>
                <w:b/>
                <w:bCs/>
                <w:noProof/>
                <w:spacing w:val="30"/>
              </w:rPr>
              <w:t>八、关于财产保险合同纠纷案件的审理</w:t>
            </w:r>
            <w:r>
              <w:rPr>
                <w:noProof/>
                <w:webHidden/>
              </w:rPr>
              <w:tab/>
            </w:r>
            <w:r>
              <w:rPr>
                <w:noProof/>
                <w:webHidden/>
              </w:rPr>
              <w:fldChar w:fldCharType="begin"/>
            </w:r>
            <w:r>
              <w:rPr>
                <w:noProof/>
                <w:webHidden/>
              </w:rPr>
              <w:instrText xml:space="preserve"> PAGEREF _Toc24657771 \h </w:instrText>
            </w:r>
            <w:r>
              <w:rPr>
                <w:noProof/>
                <w:webHidden/>
              </w:rPr>
            </w:r>
            <w:r>
              <w:rPr>
                <w:noProof/>
                <w:webHidden/>
              </w:rPr>
              <w:fldChar w:fldCharType="separate"/>
            </w:r>
            <w:r>
              <w:rPr>
                <w:noProof/>
                <w:webHidden/>
              </w:rPr>
              <w:t>35</w:t>
            </w:r>
            <w:r>
              <w:rPr>
                <w:noProof/>
                <w:webHidden/>
              </w:rPr>
              <w:fldChar w:fldCharType="end"/>
            </w:r>
          </w:hyperlink>
        </w:p>
        <w:p w14:paraId="454B4184" w14:textId="6A91AECA" w:rsidR="00076A46" w:rsidRDefault="00076A46">
          <w:pPr>
            <w:pStyle w:val="TOC1"/>
            <w:tabs>
              <w:tab w:val="right" w:leader="dot" w:pos="9345"/>
            </w:tabs>
            <w:rPr>
              <w:noProof/>
            </w:rPr>
          </w:pPr>
          <w:hyperlink w:anchor="_Toc24657772" w:history="1">
            <w:r w:rsidRPr="00C450DD">
              <w:rPr>
                <w:rStyle w:val="a8"/>
                <w:b/>
                <w:bCs/>
                <w:noProof/>
                <w:spacing w:val="30"/>
              </w:rPr>
              <w:t>九、关于票据纠纷案件的审理</w:t>
            </w:r>
            <w:r>
              <w:rPr>
                <w:noProof/>
                <w:webHidden/>
              </w:rPr>
              <w:tab/>
            </w:r>
            <w:r>
              <w:rPr>
                <w:noProof/>
                <w:webHidden/>
              </w:rPr>
              <w:fldChar w:fldCharType="begin"/>
            </w:r>
            <w:r>
              <w:rPr>
                <w:noProof/>
                <w:webHidden/>
              </w:rPr>
              <w:instrText xml:space="preserve"> PAGEREF _Toc24657772 \h </w:instrText>
            </w:r>
            <w:r>
              <w:rPr>
                <w:noProof/>
                <w:webHidden/>
              </w:rPr>
            </w:r>
            <w:r>
              <w:rPr>
                <w:noProof/>
                <w:webHidden/>
              </w:rPr>
              <w:fldChar w:fldCharType="separate"/>
            </w:r>
            <w:r>
              <w:rPr>
                <w:noProof/>
                <w:webHidden/>
              </w:rPr>
              <w:t>36</w:t>
            </w:r>
            <w:r>
              <w:rPr>
                <w:noProof/>
                <w:webHidden/>
              </w:rPr>
              <w:fldChar w:fldCharType="end"/>
            </w:r>
          </w:hyperlink>
        </w:p>
        <w:p w14:paraId="731D4AB4" w14:textId="3808A295" w:rsidR="00076A46" w:rsidRDefault="00076A46">
          <w:pPr>
            <w:pStyle w:val="TOC1"/>
            <w:tabs>
              <w:tab w:val="right" w:leader="dot" w:pos="9345"/>
            </w:tabs>
            <w:rPr>
              <w:noProof/>
            </w:rPr>
          </w:pPr>
          <w:hyperlink w:anchor="_Toc24657773" w:history="1">
            <w:r w:rsidRPr="00C450DD">
              <w:rPr>
                <w:rStyle w:val="a8"/>
                <w:b/>
                <w:bCs/>
                <w:noProof/>
                <w:spacing w:val="30"/>
              </w:rPr>
              <w:t>十、关于破产纠纷案件的审理</w:t>
            </w:r>
            <w:r>
              <w:rPr>
                <w:noProof/>
                <w:webHidden/>
              </w:rPr>
              <w:tab/>
            </w:r>
            <w:r>
              <w:rPr>
                <w:noProof/>
                <w:webHidden/>
              </w:rPr>
              <w:fldChar w:fldCharType="begin"/>
            </w:r>
            <w:r>
              <w:rPr>
                <w:noProof/>
                <w:webHidden/>
              </w:rPr>
              <w:instrText xml:space="preserve"> PAGEREF _Toc24657773 \h </w:instrText>
            </w:r>
            <w:r>
              <w:rPr>
                <w:noProof/>
                <w:webHidden/>
              </w:rPr>
            </w:r>
            <w:r>
              <w:rPr>
                <w:noProof/>
                <w:webHidden/>
              </w:rPr>
              <w:fldChar w:fldCharType="separate"/>
            </w:r>
            <w:r>
              <w:rPr>
                <w:noProof/>
                <w:webHidden/>
              </w:rPr>
              <w:t>39</w:t>
            </w:r>
            <w:r>
              <w:rPr>
                <w:noProof/>
                <w:webHidden/>
              </w:rPr>
              <w:fldChar w:fldCharType="end"/>
            </w:r>
          </w:hyperlink>
        </w:p>
        <w:p w14:paraId="45C7CEDB" w14:textId="721A6796" w:rsidR="00076A46" w:rsidRDefault="00076A46">
          <w:pPr>
            <w:pStyle w:val="TOC1"/>
            <w:tabs>
              <w:tab w:val="right" w:leader="dot" w:pos="9345"/>
            </w:tabs>
            <w:rPr>
              <w:noProof/>
            </w:rPr>
          </w:pPr>
          <w:hyperlink w:anchor="_Toc24657774" w:history="1">
            <w:r w:rsidRPr="00C450DD">
              <w:rPr>
                <w:rStyle w:val="a8"/>
                <w:b/>
                <w:bCs/>
                <w:noProof/>
                <w:spacing w:val="30"/>
              </w:rPr>
              <w:t>十一、关于案外人救济案件的审理</w:t>
            </w:r>
            <w:r>
              <w:rPr>
                <w:noProof/>
                <w:webHidden/>
              </w:rPr>
              <w:tab/>
            </w:r>
            <w:r>
              <w:rPr>
                <w:noProof/>
                <w:webHidden/>
              </w:rPr>
              <w:fldChar w:fldCharType="begin"/>
            </w:r>
            <w:r>
              <w:rPr>
                <w:noProof/>
                <w:webHidden/>
              </w:rPr>
              <w:instrText xml:space="preserve"> PAGEREF _Toc24657774 \h </w:instrText>
            </w:r>
            <w:r>
              <w:rPr>
                <w:noProof/>
                <w:webHidden/>
              </w:rPr>
            </w:r>
            <w:r>
              <w:rPr>
                <w:noProof/>
                <w:webHidden/>
              </w:rPr>
              <w:fldChar w:fldCharType="separate"/>
            </w:r>
            <w:r>
              <w:rPr>
                <w:noProof/>
                <w:webHidden/>
              </w:rPr>
              <w:t>44</w:t>
            </w:r>
            <w:r>
              <w:rPr>
                <w:noProof/>
                <w:webHidden/>
              </w:rPr>
              <w:fldChar w:fldCharType="end"/>
            </w:r>
          </w:hyperlink>
        </w:p>
        <w:p w14:paraId="1D577DF4" w14:textId="4649033F" w:rsidR="00076A46" w:rsidRDefault="00076A46">
          <w:pPr>
            <w:pStyle w:val="TOC1"/>
            <w:tabs>
              <w:tab w:val="right" w:leader="dot" w:pos="9345"/>
            </w:tabs>
            <w:rPr>
              <w:noProof/>
            </w:rPr>
          </w:pPr>
          <w:hyperlink w:anchor="_Toc24657775" w:history="1">
            <w:r w:rsidRPr="00C450DD">
              <w:rPr>
                <w:rStyle w:val="a8"/>
                <w:b/>
                <w:bCs/>
                <w:noProof/>
                <w:spacing w:val="30"/>
              </w:rPr>
              <w:t>十二、关于民刑交叉案件的程序处理</w:t>
            </w:r>
            <w:r>
              <w:rPr>
                <w:noProof/>
                <w:webHidden/>
              </w:rPr>
              <w:tab/>
            </w:r>
            <w:r>
              <w:rPr>
                <w:noProof/>
                <w:webHidden/>
              </w:rPr>
              <w:fldChar w:fldCharType="begin"/>
            </w:r>
            <w:r>
              <w:rPr>
                <w:noProof/>
                <w:webHidden/>
              </w:rPr>
              <w:instrText xml:space="preserve"> PAGEREF _Toc24657775 \h </w:instrText>
            </w:r>
            <w:r>
              <w:rPr>
                <w:noProof/>
                <w:webHidden/>
              </w:rPr>
            </w:r>
            <w:r>
              <w:rPr>
                <w:noProof/>
                <w:webHidden/>
              </w:rPr>
              <w:fldChar w:fldCharType="separate"/>
            </w:r>
            <w:r>
              <w:rPr>
                <w:noProof/>
                <w:webHidden/>
              </w:rPr>
              <w:t>48</w:t>
            </w:r>
            <w:r>
              <w:rPr>
                <w:noProof/>
                <w:webHidden/>
              </w:rPr>
              <w:fldChar w:fldCharType="end"/>
            </w:r>
          </w:hyperlink>
        </w:p>
        <w:p w14:paraId="0E8D81F2" w14:textId="4087BDAD" w:rsidR="007107DF" w:rsidRDefault="007107DF">
          <w:r>
            <w:rPr>
              <w:b/>
              <w:bCs/>
              <w:lang w:val="zh-CN"/>
            </w:rPr>
            <w:fldChar w:fldCharType="end"/>
          </w:r>
        </w:p>
      </w:sdtContent>
    </w:sdt>
    <w:p w14:paraId="621DE5A5"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w:t>
      </w:r>
    </w:p>
    <w:p w14:paraId="479662D3" w14:textId="77777777" w:rsid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30"/>
        </w:rPr>
      </w:pPr>
      <w:r w:rsidRPr="007107DF">
        <w:rPr>
          <w:color w:val="333333"/>
          <w:spacing w:val="30"/>
        </w:rPr>
        <w:t>    </w:t>
      </w:r>
      <w:r w:rsidR="007107DF">
        <w:rPr>
          <w:color w:val="333333"/>
          <w:spacing w:val="30"/>
        </w:rPr>
        <w:br w:type="page"/>
      </w:r>
    </w:p>
    <w:p w14:paraId="2FFFC322" w14:textId="48CBA56F" w:rsidR="008E2D19" w:rsidRPr="007107DF" w:rsidRDefault="008E2D19" w:rsidP="007107DF">
      <w:pPr>
        <w:pStyle w:val="a7"/>
        <w:shd w:val="clear" w:color="auto" w:fill="FFFFFF"/>
        <w:adjustRightInd w:val="0"/>
        <w:snapToGrid w:val="0"/>
        <w:spacing w:beforeLines="50" w:before="156" w:beforeAutospacing="0" w:after="0" w:afterAutospacing="0" w:line="300" w:lineRule="auto"/>
        <w:jc w:val="center"/>
        <w:outlineLvl w:val="0"/>
        <w:rPr>
          <w:b/>
          <w:bCs/>
          <w:color w:val="333333"/>
          <w:spacing w:val="30"/>
        </w:rPr>
      </w:pPr>
      <w:bookmarkStart w:id="1" w:name="_Toc24657746"/>
      <w:r w:rsidRPr="007107DF">
        <w:rPr>
          <w:b/>
          <w:bCs/>
          <w:color w:val="333333"/>
          <w:spacing w:val="30"/>
        </w:rPr>
        <w:lastRenderedPageBreak/>
        <w:t>引言</w:t>
      </w:r>
      <w:bookmarkEnd w:id="1"/>
    </w:p>
    <w:p w14:paraId="01EDC12D"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为全面贯彻党的十九大和十九届二中、三中全会以及中央经济工作会议、中央政法工作会议、全国金融工作会议精神，研究当前形势下如何进一步加强人民法院民商事审判工作，着力提升民商事审判工作能力和水平，为我国经济高质量发展提供更加有力的司法服务和保障，最高人民法院于2019年7月3日至4日在黑龙江省哈尔滨市召开了全国法院民商事审判工作会议。最高人民法院党组书记、院长周强同志出席会议并讲话。各省、自治区、直辖市高级人民法院分管民商事审判工作的副院长、承担民商事案件审判任务的审判庭庭长、解放军军事法院的代表、最高人民法院有关部门负责人在主会场出席会议，地方各级人民法院的其他负责同志和民商事审判法官在各地分会场通过视频参加会议。中央政法委、全国人大常委会法工委的代表、部分全国人大代表、全国政协委员、最高人民法院特约监督员、专家学者应邀参加会议。</w:t>
      </w:r>
    </w:p>
    <w:p w14:paraId="19189C50"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会议认为，民商事审判工作必须坚持正确的政治方向，必须以习近平新时代中国特色社会主义思想武装头脑、指导实践、推动工作。一要坚持党的绝对领导。这是中国特色社会主义司法制度的本质特征和根本要求，是人民法院永远不变的根和魂。在民商事审判工作中，要切实增强“四个意识”、坚定“四个自信”、做到“两个维护”，坚定不移走中国特色社会主义法治道路。二要坚持服务党和国家大局。认清形势，高度关注中国特色社会主义进入新时代背景下经济社会的重大变化、社会主要矛盾的历史性变化、各类风险隐患的多元多变，提高服务大局的自觉性、针对性，主动作为，勇于担当，处理好依法办案和服务大局的辩证关系，着眼于贯彻落实党中央的重大决策部署、维护人民群众的根本利益、维护法治的统一。三要坚持司法为民。牢固树立以人民为中心的发展思想，始终坚守人民立场，胸怀人民群众，满足人民需求，带着对人民群众的深厚感情和强烈责任感去做好民商事审判工作。在民商事审判工作中要弘扬社会主义核心价值观，注意情理法的交融平衡，做到以法为据、以理服人、以情感人，既要义正辞严讲清法理，又要循循善诱讲明事理，还要感同身受讲透情理，争取广大人民群众和社会的理解与支持。要建立健全方便人民群众诉讼的民商事审判工作机制。四要坚持公正司法。公平正义是中国特色社会主义制度的内在要求，也是我党治国理政的一贯主张。司法是维护社会公平正义的最后一道防线，必须把公平正义作为生命线，必须把公平正义作为镌刻在心中的价值坐标，必须把“努力让人民群众在每一个司法案件中感受到公平正义”作为矢志不渝的奋斗目标。</w:t>
      </w:r>
    </w:p>
    <w:p w14:paraId="60316F0C"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lastRenderedPageBreak/>
        <w:t xml:space="preserve">　　会议指出，民商事审判工作要树立正确的审判理念。注意辩证理解并准确把握契约自由、平等保护、诚实信用、公序良俗等民商事审判基本原则；注意树立请求权基础思维、逻辑和价值相一致思维、同案同判思维，通过检索类案、参考指导案例等方式统一裁判尺度，有效防止滥用自由裁量权；注意处理好民商事审判与行政监管的关系，通过穿透式审判思维，查明当事人的真实意思，探求真实法律关系；特别注意外观主义系民商法上的学理概括，并非现行法律规定的原则，现行法律只是规定了体现外观主义的具体规则，如《物权法》第106条规定的善意取得，《合同法》第49条、《民法总则》第172条规定的表见代理，《合同法》第50条规定的越权代表，审判实务中应当依据有关具体法律规则进行判断，类推适用亦应当以法律规则设定的情形、条件为基础。从现行法律规则看，外观主义是为保护交易安全设置的例外规定，一般适用于因合理信赖权利外观或意思表示外观的交易行为。实际权利人与名义权利人的关系，应注重财产的实质归属，而不单纯地取决于公示外观。总之，审判实务中要准确把握外观主义的适用边界，避免泛化和滥用。</w:t>
      </w:r>
    </w:p>
    <w:p w14:paraId="637E02DD" w14:textId="6BE0F183" w:rsidR="008E2D19" w:rsidRDefault="008E2D19" w:rsidP="007107DF">
      <w:pPr>
        <w:pStyle w:val="a7"/>
        <w:shd w:val="clear" w:color="auto" w:fill="FFFFFF"/>
        <w:adjustRightInd w:val="0"/>
        <w:snapToGrid w:val="0"/>
        <w:spacing w:beforeLines="50" w:before="156" w:beforeAutospacing="0" w:after="0" w:afterAutospacing="0" w:line="300" w:lineRule="auto"/>
        <w:ind w:firstLine="609"/>
        <w:rPr>
          <w:color w:val="333333"/>
          <w:spacing w:val="30"/>
        </w:rPr>
      </w:pPr>
      <w:r w:rsidRPr="007107DF">
        <w:rPr>
          <w:color w:val="333333"/>
          <w:spacing w:val="30"/>
        </w:rPr>
        <w:t xml:space="preserve">会议对当前民商事审判工作中的一些疑难法律问题取得了基本一致的看法，现纪要如下：　　</w:t>
      </w:r>
    </w:p>
    <w:p w14:paraId="6BE92FF0" w14:textId="77777777" w:rsidR="007107DF" w:rsidRPr="007107DF" w:rsidRDefault="007107DF" w:rsidP="007107DF">
      <w:pPr>
        <w:pStyle w:val="a7"/>
        <w:shd w:val="clear" w:color="auto" w:fill="FFFFFF"/>
        <w:adjustRightInd w:val="0"/>
        <w:snapToGrid w:val="0"/>
        <w:spacing w:beforeLines="50" w:before="156" w:beforeAutospacing="0" w:after="0" w:afterAutospacing="0" w:line="300" w:lineRule="auto"/>
        <w:ind w:firstLine="609"/>
        <w:rPr>
          <w:rFonts w:hint="eastAsia"/>
          <w:color w:val="333333"/>
          <w:spacing w:val="8"/>
        </w:rPr>
      </w:pPr>
    </w:p>
    <w:p w14:paraId="7440BA83" w14:textId="6DA3C11B" w:rsidR="008E2D19" w:rsidRPr="007107DF" w:rsidRDefault="008E2D19" w:rsidP="007107DF">
      <w:pPr>
        <w:pStyle w:val="a7"/>
        <w:shd w:val="clear" w:color="auto" w:fill="FFFFFF"/>
        <w:adjustRightInd w:val="0"/>
        <w:snapToGrid w:val="0"/>
        <w:spacing w:beforeLines="50" w:before="156" w:beforeAutospacing="0" w:after="0" w:afterAutospacing="0" w:line="300" w:lineRule="auto"/>
        <w:jc w:val="center"/>
        <w:outlineLvl w:val="0"/>
        <w:rPr>
          <w:b/>
          <w:bCs/>
          <w:color w:val="333333"/>
          <w:spacing w:val="8"/>
        </w:rPr>
      </w:pPr>
      <w:bookmarkStart w:id="2" w:name="_Toc24657747"/>
      <w:r w:rsidRPr="007107DF">
        <w:rPr>
          <w:b/>
          <w:bCs/>
          <w:color w:val="333333"/>
          <w:spacing w:val="30"/>
        </w:rPr>
        <w:t>一、关于民法总则适用的法律衔接</w:t>
      </w:r>
      <w:bookmarkEnd w:id="2"/>
    </w:p>
    <w:p w14:paraId="724038CF"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会议认为，民法总则施行后至民法典施行前，拟编入民法典但尚未完成修订的物权法、合同法等民商事基本法，以及不编入民法典的公司法、证券法、信托法、保险法、票据法等民商事特别法，均可能存在与民法总则规定不一致的情形。人民法院应当依照《立法法》第92条、《民法总则》第11条等规定，综合考虑新的规定优于旧的规定、特别规定优于一般规定等法律适用规则，依法处理好民法总则与相关法律的衔接问题，主要是处理好与民法通则、合同法、公司法的关系。　　　　</w:t>
      </w:r>
    </w:p>
    <w:p w14:paraId="24D05BE8"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1.【民法总则与民法通则的关系及其适用】民法通则既规定了民法的一些基本制度和一般性规则，也规定了合同、所有权及其他财产权、知识产权、民事责任、涉外民事法律关系适用等具体内容。民法总则基本吸收了民法通则规定的基本制度和一般性规则，同时作了补充、完善和发展。民法通则规定的合同、所有权及其他财产权、民事责任等具体内容还需要在编撰民法典各分编时作进一步统筹，系统整合。因民法总则施行后暂不废止民法通则，在此之前，民法总则与民法通则规定不一</w:t>
      </w:r>
      <w:r w:rsidRPr="007107DF">
        <w:rPr>
          <w:color w:val="333333"/>
          <w:spacing w:val="30"/>
        </w:rPr>
        <w:lastRenderedPageBreak/>
        <w:t xml:space="preserve">致的，根据新的规定优于旧的规定的法律适用规则，适用民法总则的规定。最高人民法院已依据民法总则制定了关于诉讼时效问题的司法解释，而原依据民法通则制定的关于诉讼时效的司法解释，只要与民法总则不冲突，仍可适用。　　　　</w:t>
      </w:r>
    </w:p>
    <w:p w14:paraId="68628CC0"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2.【民法总则与合同法的关系及其适用】根据民法典编撰工作“两步走”的安排，民法总则施行后，目前正在进行民法典的合同编、物权编等各分编的编撰工作。民法典施行后，合同法不再保留。在这之前，因民法总则施行前成立的合同发生的纠纷，原则上适用合同法的有关规定处理。因民法总则施行后成立的合同发生的纠纷，如果合同法“总则”对此的规定与民法总则的规定不一致的，根据新的规定优于旧的规定的法律适用规则，适用民法总则的规定。例如，关于欺诈、胁迫问题，根据合同法的规定，只有合同当事人之间存在欺诈、胁迫行为的，被欺诈、胁迫一方才享有撤销合同的权利。而依民法总则的规定，第三人实施的欺诈、胁迫行为，被欺诈、胁迫一方也有撤销合同的权利。另外，合同法视欺诈、胁迫行为所损害利益的不同，对合同效力作出了不同规定：损害合同当事人利益的，属于可撤销或者可变更合同；损害国家利益的，则属于无效合同。民法总则则未加区别，规定一律按可撤销合同对待。再如，关于显失公平问题，合同法将显失公平与乘人之危作为两类不同的可撤销或者可变更合同事由，而民法总则则将二者合并为一类可撤销合同事由。　</w:t>
      </w:r>
    </w:p>
    <w:p w14:paraId="27BE87CE"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民法总则施行后发生的纠纷，在民法典施行前，如果合同法“分则”对此的规定与民法总则不一致的，根据特别规定优于一般规定的法律适用规则，适用合同法“分则”的规定。例如，民法总则仅规定了显名代理，没有规定《合同法》第402条的隐名代理和第403条的间接代理。在民法典施行前，这两条规定应当继续适用。　　　　</w:t>
      </w:r>
    </w:p>
    <w:p w14:paraId="536CAC72"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3.【民法总则与公司法的关系及其适用】民法总则与公司法的关系，是一般法与商事特别法的关系。民法总则第三章“法人”第一节“一般规定”和第二节“营利法人”基本上是根据公司法的有关规定提炼的，二者的精神大体一致。因此，涉及民法总则这一部分的内容，规定一致的，适用民法总则或者公司法皆可；规定不一致的，根据《民法总则》第11条有关“其他法律对民事关系有特别规定的，依照其规定”的规定，原则上应当适用公司法的规定。但应当注意也有例外情况，主要表现在两个方面：一是就同一事项，民法总则制定时有意修正公司法有关条款的，应当适用民法总则的规定。例如，《公司法》第</w:t>
      </w:r>
      <w:r w:rsidRPr="007107DF">
        <w:rPr>
          <w:color w:val="333333"/>
          <w:spacing w:val="30"/>
        </w:rPr>
        <w:lastRenderedPageBreak/>
        <w:t xml:space="preserve">32条第3款规定：“公司应当将股东的姓名或者名称及其出资额向公司登记机关登记；登记事项发生变更的，应当办理变更登记。未经登记或者变更登记的，不得对抗第三人。”而《民法总则》第65条的规定则把“不得对抗第三人”修正为“不得对抗善意相对人”。经查询有关立法理由，可以认为，此种情况应当适用民法总则的规定。二是民法总则在公司法规定基础上增加了新内容的，如《公司法》第22条第2款就公司决议的撤销问题进行了规定，《民法总则》第85条在该条基础上增加规定：“但是营利法人依据该决议与善意相对人形成的民事法律关系不受影响。”此时，也应当适用民法总则的规定。　　　　</w:t>
      </w:r>
    </w:p>
    <w:p w14:paraId="0B207D9D"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4.【民法总则的时间效力】根据“法不溯及既往”的原则，民法总则原则上没有溯及力，故只能适用于施行后发生的法律事实；民法总则施行前发生的法律事实，适用当时的法律；某一法律事实发生在民法总则施行前，其行为延续至民法总则施行后的，适用民法总则的规定。但要注意有例外情形，如虽然法律事实发生在民法总则施行前，但当时的法律对此没有规定而民法总则有规定的，例如，对于虚伪意思表示、第三人实施欺诈行为，合同法均无规定，发生纠纷后，基于“法官不得拒绝裁判”规则，可以将民法总则的相关规定作为裁判依据。又如，民法总则施行前成立的合同，根据当时的法律应当认定无效，而根据民法总则应当认定有效或者可撤销的，应当适用民法总则的规定。　　　　</w:t>
      </w:r>
    </w:p>
    <w:p w14:paraId="787FAE99"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在民法总则无溯及力的场合，人民法院应当依据法律事实发生时的法律进行裁判，但如果法律事实发生时的法律虽有规定，但内容不具体、不明确的，如关于无权代理在被代理人不予追认时的法律后果，民法通则和合同法均规定由行为人承担民事责任，但对民事责任的性质和方式没有规定，而民法总则对此有明确且详细的规定，人民法院在审理案件时，就可以在裁判文书的说理部分将民法总则规定的内容作为解释法律事实发生时法律规定的参考。　　</w:t>
      </w:r>
    </w:p>
    <w:p w14:paraId="555A171F"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jc w:val="center"/>
        <w:outlineLvl w:val="0"/>
        <w:rPr>
          <w:b/>
          <w:bCs/>
          <w:color w:val="333333"/>
          <w:spacing w:val="30"/>
        </w:rPr>
      </w:pPr>
      <w:r w:rsidRPr="007107DF">
        <w:rPr>
          <w:b/>
          <w:bCs/>
          <w:color w:val="333333"/>
          <w:spacing w:val="30"/>
        </w:rPr>
        <w:t xml:space="preserve">　　</w:t>
      </w:r>
      <w:bookmarkStart w:id="3" w:name="_Toc24657748"/>
      <w:r w:rsidRPr="007107DF">
        <w:rPr>
          <w:b/>
          <w:bCs/>
          <w:color w:val="333333"/>
          <w:spacing w:val="30"/>
        </w:rPr>
        <w:t>二、关于公司纠纷案件的审理</w:t>
      </w:r>
      <w:bookmarkEnd w:id="3"/>
      <w:r w:rsidRPr="007107DF">
        <w:rPr>
          <w:b/>
          <w:bCs/>
          <w:color w:val="333333"/>
          <w:spacing w:val="30"/>
        </w:rPr>
        <w:t xml:space="preserve">　　　　</w:t>
      </w:r>
    </w:p>
    <w:p w14:paraId="7C35DDB2"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会议认为，审理好公司纠纷案件，对于保护交易安全和投资安全，激发经济活力，增强投资创业信心，具有重要意义。要依法协调好公司债权人、股东、公司等各种利益主体之间的关系，处理好公司外部与内部的关系，解决好公司自治与司法介入的关系。　　　　</w:t>
      </w:r>
    </w:p>
    <w:p w14:paraId="3986E2E9" w14:textId="394D3992" w:rsidR="008E2D19" w:rsidRPr="007107DF" w:rsidRDefault="008E2D19" w:rsidP="007107DF">
      <w:pPr>
        <w:pStyle w:val="a7"/>
        <w:shd w:val="clear" w:color="auto" w:fill="FFFFFF"/>
        <w:adjustRightInd w:val="0"/>
        <w:snapToGrid w:val="0"/>
        <w:spacing w:beforeLines="50" w:before="156" w:beforeAutospacing="0" w:after="0" w:afterAutospacing="0" w:line="300" w:lineRule="auto"/>
        <w:outlineLvl w:val="1"/>
        <w:rPr>
          <w:b/>
          <w:bCs/>
          <w:color w:val="333333"/>
          <w:spacing w:val="8"/>
        </w:rPr>
      </w:pPr>
      <w:bookmarkStart w:id="4" w:name="_Toc24657749"/>
      <w:r w:rsidRPr="007107DF">
        <w:rPr>
          <w:b/>
          <w:bCs/>
          <w:color w:val="333333"/>
          <w:spacing w:val="30"/>
        </w:rPr>
        <w:t>（一）关于“对赌协议”的效力及履行</w:t>
      </w:r>
      <w:bookmarkEnd w:id="4"/>
    </w:p>
    <w:p w14:paraId="06BBD832"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lastRenderedPageBreak/>
        <w:t xml:space="preserve">　　实践中俗称的“对赌协议”，又称估值调整协议，是指投资方与融资方在达成股权性融资协议时，为解决交易双方对目标公司未来发展的不确定性、信息不对称以及代理成本而设计的包含了股权回购、金钱补偿等对未来目标公司的估值进行调整的协议。从订立“对赌协议”的主体来看，有投资方与目标公司的股东或者实际控制人“对赌”、投资方与目标公司“对赌”、投资方与目标公司的股东、目标公司“对赌”等形式。人民法院在审理“对赌协议”纠纷案件时，不仅应当适用合同法的相关规定，还应当适用公司法的相关规定；既要坚持鼓励投资方对实体企业特别是科技创新企业投资原则，从而在一定程度上缓解企业融资难问题，又要贯彻资本维持原则和保护债权人合法权益原则，依法平衡投资方、公司债权人、公司之间的利益。对于投资方与目标公司的股东或者实际控制人订立的“对赌协议”，如无其他无效事由，认定有效并支持实际履行，实践中并无争议。但投资方与目标公司订立的“对赌协议”是否有效以及能否实际履行，存在争议。对此，应当把握如下处理规则：</w:t>
      </w:r>
    </w:p>
    <w:p w14:paraId="6F619794"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5.【与目标公司“对赌”】投资方与目标公司订立的“对赌协议”在不存在法定无效事由的情况下，目标公司仅以存在股权回购或者金钱补偿约定为由，主张“对赌协议”无效的，人民法院不予支持，但投资方主张实际履行的，人民法院应当审查是否符合公司法关于“股东不得抽逃出资”及股份回购的强制性规定，判决是否支持其诉讼请求。</w:t>
      </w:r>
    </w:p>
    <w:p w14:paraId="0E01096C"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投资方请求目标公司回购股权的，人民法院应当依据《公司法》第35条关于“股东不得抽逃出资”或者第142条关于股份回购的强制性规定进行审查。经审查，目标公司未完成减资程序的，人民法院应当驳回其诉讼请求。</w:t>
      </w:r>
    </w:p>
    <w:p w14:paraId="58D32310"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投资方请求目标公司承担金钱补偿义务的，人民法院应当依据《公司法》第35条关于“股东不得抽逃出资”和第166条关于利润分配的强制性规定进行审查。经审查，目标公司没有利润或者虽有利润但不足以补偿投资方的，人民法院应当驳回或者部分支持其诉讼请求。今后目标公司有利润时，投资方还可以依据该事实另行提起诉讼。</w:t>
      </w:r>
    </w:p>
    <w:p w14:paraId="36F50ACF" w14:textId="49327328" w:rsidR="008E2D19" w:rsidRPr="007107DF" w:rsidRDefault="008E2D19" w:rsidP="007107DF">
      <w:pPr>
        <w:pStyle w:val="a7"/>
        <w:shd w:val="clear" w:color="auto" w:fill="FFFFFF"/>
        <w:adjustRightInd w:val="0"/>
        <w:snapToGrid w:val="0"/>
        <w:spacing w:beforeLines="50" w:before="156" w:beforeAutospacing="0" w:after="0" w:afterAutospacing="0" w:line="300" w:lineRule="auto"/>
        <w:outlineLvl w:val="1"/>
        <w:rPr>
          <w:b/>
          <w:bCs/>
          <w:color w:val="333333"/>
          <w:spacing w:val="30"/>
        </w:rPr>
      </w:pPr>
      <w:bookmarkStart w:id="5" w:name="_Toc24657750"/>
      <w:r w:rsidRPr="007107DF">
        <w:rPr>
          <w:b/>
          <w:bCs/>
          <w:color w:val="333333"/>
          <w:spacing w:val="30"/>
        </w:rPr>
        <w:t>（二）关于股东出资加速到期及表决权</w:t>
      </w:r>
      <w:bookmarkEnd w:id="5"/>
    </w:p>
    <w:p w14:paraId="71AC738C"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6.【股东出资应否加速到期】在注册资本认缴制下，股东依法享有期限利益。债权人以公司不能清偿到期债务为由，请求未届出资期限的股东在未出资范围内对公司不能清偿的债务承担补充赔偿责任的，人民法院不予支持。但是，下列情形除外：</w:t>
      </w:r>
    </w:p>
    <w:p w14:paraId="7FD9C594"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lastRenderedPageBreak/>
        <w:t xml:space="preserve">　　（1）公司作为被执行人的案件，人民法院穷尽执行措施无财产可供执行，已具备破产原因，但不申请破产的；</w:t>
      </w:r>
    </w:p>
    <w:p w14:paraId="607DCB8E"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（2）在公司债务产生后，公司股东（大）会决议或以其他方式延长股东出资期限的。　　　　</w:t>
      </w:r>
    </w:p>
    <w:p w14:paraId="54F6EC1D"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7.【表决权能否受限】股东认缴的出资未届履行期限，对未缴纳部分的出资是否享有以及如何行使表决权等问题，应当根据公司章程来确定。公司章程没有规定的，应当按照认缴出资的比例确定。如果股东（大）会作出不按认缴出资比例而按实际出资比例或者其他标准确定表决权的决议，股东请求确认决议无效的，人民法院应当审查该决议是否符合修改公司章程所要求的表决程序，即必须经代表三分之二以上表决权的股东通过。符合的，人民法院不予支持；反之，则依法予以支持。</w:t>
      </w:r>
    </w:p>
    <w:p w14:paraId="1FCCF319" w14:textId="11128638" w:rsidR="008E2D19" w:rsidRPr="007107DF" w:rsidRDefault="008E2D19" w:rsidP="007107DF">
      <w:pPr>
        <w:pStyle w:val="a7"/>
        <w:shd w:val="clear" w:color="auto" w:fill="FFFFFF"/>
        <w:adjustRightInd w:val="0"/>
        <w:snapToGrid w:val="0"/>
        <w:spacing w:beforeLines="50" w:before="156" w:beforeAutospacing="0" w:after="0" w:afterAutospacing="0" w:line="300" w:lineRule="auto"/>
        <w:outlineLvl w:val="1"/>
        <w:rPr>
          <w:b/>
          <w:bCs/>
          <w:color w:val="333333"/>
          <w:spacing w:val="30"/>
        </w:rPr>
      </w:pPr>
      <w:bookmarkStart w:id="6" w:name="_Toc24657751"/>
      <w:r w:rsidRPr="007107DF">
        <w:rPr>
          <w:b/>
          <w:bCs/>
          <w:color w:val="333333"/>
          <w:spacing w:val="30"/>
        </w:rPr>
        <w:t>（三）关于股权转让</w:t>
      </w:r>
      <w:bookmarkEnd w:id="6"/>
    </w:p>
    <w:p w14:paraId="1496C267"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8.【有限责任公司的股权变动】当事人之间转让有限责任公司股权，受让人以其姓名或者名称已记载于股东名册为由主张其已经取得股权的，人民法院依法予以支持，但法律、行政法规规定应当办理批准手续生效的股权转让除外。未向公司登记机关办理股权变更登记的，不得对抗善意相对人。</w:t>
      </w:r>
    </w:p>
    <w:p w14:paraId="76ACA55C"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9.【侵犯优先购买权的股权转让合同的效力】审判实践中，部分人民法院对公司法司法解释（四）第21条规定的理解存在偏差，往往以保护其他股东的优先购买权为由认定股权转让合同无效。准确理解该条规定，既要注意保护其他股东的优先购买权，也要注意保护股东以外的股权受让人的合法权益，正确认定有限责任公司的股东与股东以外的股权受让人订立的股权转让合同的效力。一方面，其他股东依法享有优先购买权，在其主张按照股权转让合同约定的同等条件购买股权的情况下，应当支持其诉讼请求，除非出现该条第1款规定的情形。另一方面，为保护股东以外的股权受让人的合法权益，股权转让合同如无其他影响合同效力的事由，应当认定有效。其他股东行使优先购买权的，虽然股东以外的股权受让人关于继续履行股权转让合同的请求不能得到支持，但不影响其依约请求转让股东承担相应的违约责任。　　　　</w:t>
      </w:r>
    </w:p>
    <w:p w14:paraId="5850A040" w14:textId="013DD862" w:rsidR="008E2D19" w:rsidRPr="007107DF" w:rsidRDefault="008E2D19" w:rsidP="007107DF">
      <w:pPr>
        <w:pStyle w:val="a7"/>
        <w:shd w:val="clear" w:color="auto" w:fill="FFFFFF"/>
        <w:adjustRightInd w:val="0"/>
        <w:snapToGrid w:val="0"/>
        <w:spacing w:beforeLines="50" w:before="156" w:beforeAutospacing="0" w:after="0" w:afterAutospacing="0" w:line="300" w:lineRule="auto"/>
        <w:outlineLvl w:val="1"/>
        <w:rPr>
          <w:b/>
          <w:bCs/>
          <w:color w:val="333333"/>
          <w:spacing w:val="30"/>
        </w:rPr>
      </w:pPr>
      <w:bookmarkStart w:id="7" w:name="_Toc24657752"/>
      <w:r w:rsidRPr="007107DF">
        <w:rPr>
          <w:b/>
          <w:bCs/>
          <w:color w:val="333333"/>
          <w:spacing w:val="30"/>
        </w:rPr>
        <w:t>（四）关于公司人格否认</w:t>
      </w:r>
      <w:bookmarkEnd w:id="7"/>
    </w:p>
    <w:p w14:paraId="28208B65"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公司人格独立和股东有限责任是公司法的基本原则。否认公司独立人格，由滥用公司法人独立地位和股东有限责任的股东对公司债务承担连带责任，是股东有限责任的例外情形，旨在矫正有限责任制度在特定</w:t>
      </w:r>
      <w:r w:rsidRPr="007107DF">
        <w:rPr>
          <w:color w:val="333333"/>
          <w:spacing w:val="30"/>
        </w:rPr>
        <w:lastRenderedPageBreak/>
        <w:t>法律事实发生时对债权人保护的失衡现象。在审判实践中，要准确把握《公司法》第20条第3款规定的精神。一是只有在股东实施了滥用公司法人独立地位及股东有限责任的行为，且该行为严重损害了公司债权人利益的情况下，才能适用。损害债权人利益，主要是指股东滥用权利使公司财产不足以清偿公司债权人的债权。二是只有实施了滥用法人独立地位和股东有限责任行为的股东才对公司债务承担连带清偿责任，而其他股东不应承担此责任。三是公司人格否认不是全面、彻底、永久地否定公司的法人资格，而只是在具体案件中依据特定的法律事实、法律关系,突破股东对公司债务不承担责任的一般规则，例外地判令其承担连带责任。人民法院在个案中否认公司人格的判决的既判力仅仅约束该诉讼的各方当事人，不当然适用于涉及该公司的其他诉讼，不影响公司独立法人资格的存续。如果其他债权人提起公司人格否认诉讼，已生效判决认定的事实可以作为证据使用。四是《公司法》第20条第3款规定的滥用行为，实践中常见的情形有人格混同、过度支配与控制、资本显著不足等。在审理案件时，需要根据查明的案件事实进行综合判断，既审慎适用，又当用则用。实践中存在标准把握不严而滥用这一例外制度的现象，同时也存在因法律规定较为原则、抽象，适用难度大，而不善于适用、不敢于适用的现象，均应当引起高度重视。</w:t>
      </w:r>
    </w:p>
    <w:p w14:paraId="03907ADC"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10.【人格混同】认定公司人格与股东人格是否存在混同，最根本的判断标准是公司是否具有独立意思和独立财产，最主要的表现是公司的财产与股东的财产是否混同且无法区分。在认定是否构成人格混同时，应当综合考虑以下因素：</w:t>
      </w:r>
    </w:p>
    <w:p w14:paraId="58C6033E"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（1）股东无偿使用公司资金或者财产，不作财务记载的；</w:t>
      </w:r>
    </w:p>
    <w:p w14:paraId="3F7739A4"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（2）股东用公司的资金偿还股东的债务，或者将公司的资金供关联公司无偿使用，不作财务记载的；</w:t>
      </w:r>
    </w:p>
    <w:p w14:paraId="5BEB136E"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（3）公司账簿与股东账簿不分，致使公司财产与股东财产无法区分的；</w:t>
      </w:r>
    </w:p>
    <w:p w14:paraId="64554E68"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（4）股东自身收益与公司盈利不加区分，致使双方利益不清的；</w:t>
      </w:r>
    </w:p>
    <w:p w14:paraId="37ADD7C1"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（5）公司的财产记载于股东名下，由股东占有、使用的；</w:t>
      </w:r>
    </w:p>
    <w:p w14:paraId="233AD724"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（6）人格混同的其他情形。</w:t>
      </w:r>
    </w:p>
    <w:p w14:paraId="235C3342"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在出现人格混同的情况下，往往同时出现以下混同：公司业务和股东业务混同；公司员工与股东员工混同，特别是财务人员混同；公司住</w:t>
      </w:r>
      <w:r w:rsidRPr="007107DF">
        <w:rPr>
          <w:color w:val="333333"/>
          <w:spacing w:val="30"/>
        </w:rPr>
        <w:lastRenderedPageBreak/>
        <w:t>所与股东住所混同。人民法院在审理案件时，关键要审查是否构成人格混同，而不要求同时具备其他方面的混同，其他方面的混同往往只是人格混同的补强。</w:t>
      </w:r>
    </w:p>
    <w:p w14:paraId="232720C7"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11.【过度支配与控制】公司控制股东对公司过度支配与控制，操纵公司的决策过程，使公司完全丧失独立性，沦为控制股东的工具或躯壳，严重损害公司债权人利益，应当否认公司人格，由滥用控制权的股东对公司债务承担连带责任。实践中常见的情形包括：</w:t>
      </w:r>
    </w:p>
    <w:p w14:paraId="2F2135CE"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（1）母子公司之间或者子公司之间进行利益输送的；</w:t>
      </w:r>
    </w:p>
    <w:p w14:paraId="2819EC90"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（2）母子公司或者子公司之间进行交易，收益归一方，损失却由另一方承担的；</w:t>
      </w:r>
    </w:p>
    <w:p w14:paraId="05952A28"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（3）先从原公司抽走资金，然后再成立经营目的相同或者类似的公司，逃避原公司债务的；</w:t>
      </w:r>
    </w:p>
    <w:p w14:paraId="467EEBD7"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（4）先解散公司，再以原公司场所、设备、人员及相同或者相似的经营目的另设公司，逃避原公司债务的；</w:t>
      </w:r>
    </w:p>
    <w:p w14:paraId="0E2A7080"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（5）过度支配与控制的其他情形。</w:t>
      </w:r>
    </w:p>
    <w:p w14:paraId="0D2A865E"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控制股东或实际控制人控制多个子公司或者关联公司，滥用控制权使多个子公司或者关联公司财产边界不清、财务混同，利益相互输送，丧失人格独立性，沦为控制股东逃避债务、非法经营，甚至违法犯罪工具的，可以综合案件事实，否认子公司或者关联公司法人人格，判令承担连带责任。</w:t>
      </w:r>
    </w:p>
    <w:p w14:paraId="3371698A"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12.【资本显著不足】资本显著不足指的是，公司设立后在经营过程中，股东实际投入公司的资本数额与公司经营所隐含的风险相比明显不匹配。股东利用较少资本从事力所不及的经营，表明其没有从事公司经营的诚意，实质是恶意利用公司独立人格和股东有限责任把投资风险转嫁给债权人。由于资本显著不足的判断标准有很大的模糊性，特别是要与公司采取“以小博大”的正常经营方式相区分，因此在适用时要十分谨慎，应当与其他因素结合起来综合判断。　　　　</w:t>
      </w:r>
    </w:p>
    <w:p w14:paraId="20EA9F1D"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13.【诉讼地位】人民法院在审理公司人格否认纠纷案件时，应当根据不同情形确定当事人的诉讼地位：　　　　</w:t>
      </w:r>
    </w:p>
    <w:p w14:paraId="63E6D60D"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（1）债权人对债务人公司享有的债权已经由生效裁判确认，其另行提起公司人格否认诉讼，请求股东对公司债务承担连带责任的，列股东为被告，公司为第三人；　　</w:t>
      </w:r>
    </w:p>
    <w:p w14:paraId="29AEAB9B"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lastRenderedPageBreak/>
        <w:t xml:space="preserve">　　（2）债权人对债务人公司享有的债权提起诉讼的同时，一并提起公司人格否认诉讼，请求股东对公司债务承担连带责任的，列公司和股东为共同被告；</w:t>
      </w:r>
    </w:p>
    <w:p w14:paraId="2CFA2EF4"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3）债权人对债务人公司享有的债权尚未经生效裁判确认，直接提起公司人格否认诉讼，请求公司股东对公司债务承担连带责任的，人民法院应当向债权人释明，告知其追加公司为共同被告。债权人拒绝追加的，人民法院应当裁定驳回起诉。</w:t>
      </w:r>
    </w:p>
    <w:p w14:paraId="14E811B9" w14:textId="10E4D489" w:rsidR="008E2D19" w:rsidRPr="007107DF" w:rsidRDefault="008E2D19" w:rsidP="007107DF">
      <w:pPr>
        <w:pStyle w:val="a7"/>
        <w:shd w:val="clear" w:color="auto" w:fill="FFFFFF"/>
        <w:adjustRightInd w:val="0"/>
        <w:snapToGrid w:val="0"/>
        <w:spacing w:beforeLines="50" w:before="156" w:beforeAutospacing="0" w:after="0" w:afterAutospacing="0" w:line="300" w:lineRule="auto"/>
        <w:outlineLvl w:val="1"/>
        <w:rPr>
          <w:b/>
          <w:bCs/>
          <w:color w:val="333333"/>
          <w:spacing w:val="30"/>
        </w:rPr>
      </w:pPr>
      <w:bookmarkStart w:id="8" w:name="_Toc24657753"/>
      <w:r w:rsidRPr="007107DF">
        <w:rPr>
          <w:b/>
          <w:bCs/>
          <w:color w:val="333333"/>
          <w:spacing w:val="30"/>
        </w:rPr>
        <w:t>（五）关于有限责任公司清算义务人的责任</w:t>
      </w:r>
      <w:bookmarkEnd w:id="8"/>
    </w:p>
    <w:p w14:paraId="25FC99D6"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关于有限责任公司股东清算责任的认定，一些案件的处理结果不适当地扩大了股东的清算责任。特别是实践中出现了一些职业债权人,从其他债权人处大批量超低价收购僵尸企业的“陈年旧账”后，对批量僵尸企业提起强制清算之诉，在获得人民法院对公司主要财产、账册、重要文件等灭失的认定后，根据公司法司法解释（二）第18条第2款的规定，请求有限责任公司的股东对公司债务承担连带清偿责任。有的人民法院没有准确把握上述规定的适用条件，判决没有“怠于履行义务”的小股东或者虽“怠于履行义务”但与公司主要财产、账册、重要文件等灭失没有因果关系的小股东对公司债务承担远远超过其出资数额的责任，导致出现利益明显失衡的现象。需要明确的是，上述司法解释关于有限责任公司股东清算责任的规定，其性质是因股东怠于履行清算义务致使公司无法清算所应当承担的侵权责任。在认定有限责任公司股东是否应当对债权人承担侵权赔偿责任时，应当注意以下问题：</w:t>
      </w:r>
    </w:p>
    <w:p w14:paraId="66A65FFC"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14.【怠于履行清算义务的认定】公司法司法解释（二）第18条第2款规定的“怠于履行义务”，是指有限责任公司的股东在法定清算事由出现后，在能够履行清算义务的情况下，故意拖延、拒绝履行清算义务，或者因过失导致无法进行清算的消极行为。股东举证证明其已经为履行清算义务采取了积极措施，或者小股东举证证明其既不是公司董事会或者监事会成员，也没有选派人员担任该机关成员，且从未参与公司经营管理，以不构成“怠于履行义务”为由，主张其不应当对公司债务承担连带清偿责任的，人民法院依法予以支持。</w:t>
      </w:r>
    </w:p>
    <w:p w14:paraId="17BD3E0F"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15.【因果关系抗辩】有限责任公司的股东举证证明其“怠于履行义务”的消极不作为与“公司主要财产、账册、重要文件等灭失，无法进行清算”的结果之间没有因果关系，主张其不应对公司债务承担连带清偿责任的，人民法院依法予以支持。</w:t>
      </w:r>
    </w:p>
    <w:p w14:paraId="5202946C"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lastRenderedPageBreak/>
        <w:t xml:space="preserve">　　16.【诉讼时效期间】公司债权人请求股东对公司债务承担连带清偿责任，股东以公司债权人对公司的债权已经超过诉讼时效期间为由抗辩，经查证属实的，人民法院依法予以支持。</w:t>
      </w:r>
    </w:p>
    <w:p w14:paraId="4804DE4F"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公司债权人以公司法司法解释（二）第18条第2款为依据，请求有限责任公司的股东对公司债务承担连带清偿责任的，诉讼时效期间自公司债权人知道或者应当知道公司无法进行清算之日起计算。</w:t>
      </w:r>
    </w:p>
    <w:p w14:paraId="7DD145D3" w14:textId="4188DC6B" w:rsidR="008E2D19" w:rsidRPr="007107DF" w:rsidRDefault="008E2D19" w:rsidP="007107DF">
      <w:pPr>
        <w:pStyle w:val="a7"/>
        <w:shd w:val="clear" w:color="auto" w:fill="FFFFFF"/>
        <w:adjustRightInd w:val="0"/>
        <w:snapToGrid w:val="0"/>
        <w:spacing w:beforeLines="50" w:before="156" w:beforeAutospacing="0" w:after="0" w:afterAutospacing="0" w:line="300" w:lineRule="auto"/>
        <w:outlineLvl w:val="1"/>
        <w:rPr>
          <w:b/>
          <w:bCs/>
          <w:color w:val="333333"/>
          <w:spacing w:val="30"/>
        </w:rPr>
      </w:pPr>
      <w:bookmarkStart w:id="9" w:name="_Toc24657754"/>
      <w:r w:rsidRPr="007107DF">
        <w:rPr>
          <w:b/>
          <w:bCs/>
          <w:color w:val="333333"/>
          <w:spacing w:val="30"/>
        </w:rPr>
        <w:t>（六）关于公司为他人提供担保</w:t>
      </w:r>
      <w:bookmarkEnd w:id="9"/>
    </w:p>
    <w:p w14:paraId="6070BAA5"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关于公司为他人提供担保的合同效力问题，审判实践中裁判尺度不统一，严重影响了司法公信力，有必要予以规范。对此，应当把握以下几点：　　　　</w:t>
      </w:r>
    </w:p>
    <w:p w14:paraId="5FB523AE"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17.【违反《公司法》第16条构成越权代表】为防止法定代表人随意代表公司为他人提供担保给公司造成损失，损害中小股东利益，《公司法》第16条对法定代表人的代表权进行了限制。根据该条规定，担保行为不是法定代表人所能单独决定的事项，而必须以公司股东（大）会、董事会等公司机关的决议作为授权的基础和来源。法定代表人未经授权擅自为他人提供担保的，构成越权代表，人民法院应当根据《合同法》第50条关于法定代表人越权代表的规定，区分订立合同时债权人是否善意分别认定合同效力：债权人善意的，合同有效；反之，合同无效。</w:t>
      </w:r>
    </w:p>
    <w:p w14:paraId="4326BEF3"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18.【善意的认定】前条所称的善意，是指债权人不知道或者不应当知道法定代表人超越权限订立担保合同。《公司法》第16条对关联担保和非关联担保的决议机关作出了区别规定，相应地，在善意的判断标准上也应当有所区别。一种情形是，为公司股东或者实际控制人提供关联担保，《公司法》第16条明确规定必须由股东（大）会决议，未经股东（大）会决议，构成越权代表。在此情况下，债权人主张担保合同有效，应当提供证据证明其在订立合同时对股东（大）会决议进行了审查，决议的表决程序符合《公司法》第16条的规定，即在排除被担保股东表决权的情况下，该项表决由出席会议的其他股东所持表决权的过半数通过，签字人员也符合公司章程的规定。另一种情形是，公司为公司股东或者实际控制人以外的人提供非关联担保，根据《公司法》第16条的规定，此时由公司章程规定是由董事会决议还是股东（大）会决议。无论章程是否对决议机关作出规定，也无论章程规定决议机关为董事会还是股东（大）会，根据《民法总则》第61条第3款关于“法人章程或者法人权力机构对法定代表人代表权的限制，不得对抗善意相</w:t>
      </w:r>
      <w:r w:rsidRPr="007107DF">
        <w:rPr>
          <w:color w:val="333333"/>
          <w:spacing w:val="30"/>
        </w:rPr>
        <w:lastRenderedPageBreak/>
        <w:t xml:space="preserve">对人”的规定，只要债权人能够证明其在订立担保合同时对董事会决议或者股东（大）会决议进行了审查，同意决议的人数及签字人员符合公司章程的规定，就应当认定其构成善意，但公司能够证明债权人明知公司章程对决议机关有明确规定的除外。　　　　</w:t>
      </w:r>
    </w:p>
    <w:p w14:paraId="407849F8"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债权人对公司机关决议内容的审查一般限于形式审查，只要求尽到必要的注意义务即可，标准不宜太过严苛。公司以机关决议系法定代表人伪造或者变造、决议程序违法、签章（名）不实、担保金额超过法定限额等事由抗辩债权人非善意的，人民法院一般不予支持。但是，公司有证据证明债权人明知决议系伪造或者变造的除外。</w:t>
      </w:r>
    </w:p>
    <w:p w14:paraId="61BA72D4"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19.【无须机关决议的例外情况】存在下列情形的，即便债权人知道或者应当知道没有公司机关决议，也应当认定担保合同符合公司的真实意思表示，合同有效：</w:t>
      </w:r>
    </w:p>
    <w:p w14:paraId="48D410A6"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（1）公司是以为他人提供担保为主营业务的担保公司，或者是开展保函业务的银行或者非银行金融机构；</w:t>
      </w:r>
    </w:p>
    <w:p w14:paraId="0A8F7DC9"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（2）公司为其直接或者间接控制的公司开展经营活动向债权人提供担保；</w:t>
      </w:r>
    </w:p>
    <w:p w14:paraId="3DD93474"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（3）公司与主债务人之间存在相互担保等商业合作关系；　　</w:t>
      </w:r>
    </w:p>
    <w:p w14:paraId="50BE14F7"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（4）担保合同系由单独或者共同持有公司三分之二以上有表决权的股东签字同意。</w:t>
      </w:r>
    </w:p>
    <w:p w14:paraId="273724DE"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20.【越权担保的民事责任】依据前述3条规定，担保合同有效，债权人请求公司承担担保责任的，人民法院依法予以支持；担保合同无效，债权人请求公司承担担保责任的，人民法院不予支持，但可以按照担保法及有关司法解释关于担保无效的规定处理。公司举证证明债权人明知法定代表人超越权限或者机关决议系伪造或者变造，债权人请求公司承担合同无效后的民事责任的，人民法院不予支持。</w:t>
      </w:r>
    </w:p>
    <w:p w14:paraId="098E2A06"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21.【权利救济】法定代表人的越权担保行为给公司造成损失，公司请求法定代表人承担赔偿责任的，人民法院依法予以支持。公司没有提起诉讼，股东依据《公司法》第151条的规定请求法定代表人承担赔偿责任的，人民法院依法予以支持。</w:t>
      </w:r>
    </w:p>
    <w:p w14:paraId="2DEEE5B2"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22.【上市公司为他人提供担保】债权人根据上市公司公开披露的关于担保事项已经董事会或者股东大会决议通过的信息订立的担保合同，人民法院应当认定有效。</w:t>
      </w:r>
    </w:p>
    <w:p w14:paraId="40EEBC60"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lastRenderedPageBreak/>
        <w:t xml:space="preserve">　　23.【债务加入准用担保规则】法定代表人以公司名义与债务人约定加入债务并通知债权人或者向债权人表示愿意加入债务，该约定的效力问题，参照本纪要关于公司为他人提供担保的有关规则处理。</w:t>
      </w:r>
    </w:p>
    <w:p w14:paraId="21BD7922" w14:textId="2B972277" w:rsidR="008E2D19" w:rsidRPr="007107DF" w:rsidRDefault="008E2D19" w:rsidP="007107DF">
      <w:pPr>
        <w:pStyle w:val="a7"/>
        <w:shd w:val="clear" w:color="auto" w:fill="FFFFFF"/>
        <w:adjustRightInd w:val="0"/>
        <w:snapToGrid w:val="0"/>
        <w:spacing w:beforeLines="50" w:before="156" w:beforeAutospacing="0" w:after="0" w:afterAutospacing="0" w:line="300" w:lineRule="auto"/>
        <w:outlineLvl w:val="1"/>
        <w:rPr>
          <w:b/>
          <w:bCs/>
          <w:color w:val="333333"/>
          <w:spacing w:val="30"/>
        </w:rPr>
      </w:pPr>
      <w:bookmarkStart w:id="10" w:name="_Toc24657755"/>
      <w:r w:rsidRPr="007107DF">
        <w:rPr>
          <w:b/>
          <w:bCs/>
          <w:color w:val="333333"/>
          <w:spacing w:val="30"/>
        </w:rPr>
        <w:t>（七）关于股东代表诉讼</w:t>
      </w:r>
      <w:bookmarkEnd w:id="10"/>
    </w:p>
    <w:p w14:paraId="7CDCC10C"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24.【何时成为股东不影响起诉】股东提起股东代表诉讼，被告以行为发生时原告尚未成为公司股东为由抗辩该股东不是适格原告的，人民法院不予支持。　　　　</w:t>
      </w:r>
    </w:p>
    <w:p w14:paraId="3BE6F64D"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25.【正确适用前置程序】根据《公司法》第151条的规定，股东提起代表诉讼的前置程序之一是，股东必须先书面请求公司有关机关向人民法院提起诉讼。一般情况下，股东没有履行该前置程序的，应当驳回起诉。但是，该项前置程序针对的是公司治理的一般情况，即在股东向公司有关机关提出书面申请之时，存在公司有关机关提起诉讼的可能性。如果查明的相关事实表明，根本不存在该种可能性的，人民法院不应当以原告未履行前置程序为由驳回起诉。</w:t>
      </w:r>
    </w:p>
    <w:p w14:paraId="2683B513"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26.【股东代表诉讼的反诉】股东依据《公司法》第151条第3款的规定提起股东代表诉讼后，被告以原告股东恶意起诉侵犯其合法权益为由提起反诉的，人民法院应予受理。被告以公司在案涉纠纷中应当承担侵权或者违约等责任为由对公司提出的反诉，因不符合反诉的要件，人民法院应当裁定不予受理；已经受理的，裁定驳回起诉。</w:t>
      </w:r>
    </w:p>
    <w:p w14:paraId="25C67039"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27.【股东代表诉讼的调解】公司是股东代表诉讼的最终受益人，为避免因原告股东与被告通过调解损害公司利益，人民法院应当审查调解协议是否为公司的意思。只有在调解协议经公司股东（大）会、董事会决议通过后，人民法院才能出具调解书予以确认。至于具体决议机关，取决于公司章程的规定。公司章程没有规定的，人民法院应当认定公司股东（大）会为决议机关。　　　　</w:t>
      </w:r>
    </w:p>
    <w:p w14:paraId="48CBF7C6" w14:textId="64410DF7" w:rsidR="008E2D19" w:rsidRPr="007107DF" w:rsidRDefault="008E2D19" w:rsidP="007107DF">
      <w:pPr>
        <w:pStyle w:val="a7"/>
        <w:shd w:val="clear" w:color="auto" w:fill="FFFFFF"/>
        <w:adjustRightInd w:val="0"/>
        <w:snapToGrid w:val="0"/>
        <w:spacing w:beforeLines="50" w:before="156" w:beforeAutospacing="0" w:after="0" w:afterAutospacing="0" w:line="300" w:lineRule="auto"/>
        <w:outlineLvl w:val="1"/>
        <w:rPr>
          <w:b/>
          <w:bCs/>
          <w:color w:val="333333"/>
          <w:spacing w:val="30"/>
        </w:rPr>
      </w:pPr>
      <w:bookmarkStart w:id="11" w:name="_Toc24657756"/>
      <w:r w:rsidRPr="007107DF">
        <w:rPr>
          <w:b/>
          <w:bCs/>
          <w:color w:val="333333"/>
          <w:spacing w:val="30"/>
        </w:rPr>
        <w:t>（八）其他问题</w:t>
      </w:r>
      <w:bookmarkEnd w:id="11"/>
    </w:p>
    <w:p w14:paraId="53ED4231"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28.【实际出资人显名的条件】实际出资人能够提供证据证明有限责任公司过半数的其他股东知道其实际出资的事实，且对其实际行使股东权利未曾提出异议的，对实际出资人提出的登记为公司股东的请求，人民法院依法予以支持。公司以实际出资人的请求不符合公司法司法解释（三）第24条的规定为由抗辩的，人民法院不予支持。</w:t>
      </w:r>
    </w:p>
    <w:p w14:paraId="501134C8"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lastRenderedPageBreak/>
        <w:t>      29. 【请求召开股东（大）会不可诉】公司召开股东（大）会本质上属于公司内部治理范围。股东请求判令公司召开股东（大）会的，人民法院应当告知其按照《公司法》第40条或者第101条规定的程序自行召开。股东坚持起诉的，人民法院应当裁定不予受理；已经受理的，裁定驳回起诉。</w:t>
      </w:r>
    </w:p>
    <w:p w14:paraId="3F22B479"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jc w:val="center"/>
        <w:outlineLvl w:val="0"/>
        <w:rPr>
          <w:b/>
          <w:bCs/>
          <w:color w:val="333333"/>
          <w:spacing w:val="30"/>
        </w:rPr>
      </w:pPr>
      <w:r w:rsidRPr="007107DF">
        <w:rPr>
          <w:b/>
          <w:bCs/>
          <w:color w:val="333333"/>
          <w:spacing w:val="30"/>
        </w:rPr>
        <w:t xml:space="preserve">　　</w:t>
      </w:r>
      <w:bookmarkStart w:id="12" w:name="_Toc24657757"/>
      <w:r w:rsidRPr="007107DF">
        <w:rPr>
          <w:b/>
          <w:bCs/>
          <w:color w:val="333333"/>
          <w:spacing w:val="30"/>
        </w:rPr>
        <w:t>三、关于合同纠纷案件的审理</w:t>
      </w:r>
      <w:bookmarkEnd w:id="12"/>
    </w:p>
    <w:p w14:paraId="31725B4D"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会议认为，合同是市场化配置资源的主要方式，合同纠纷也是民商事纠纷的主要类型。人民法院在审理合同纠纷案件时，要坚持鼓励交易原则，充分尊重当事人的意思自治。要依法审慎认定合同效力。要根据诚实信用原则，合理解释合同条款、确定履行内容，合理确定当事人的权利义务关系，审慎适用合同解除制度，依法调整过高的违约金，强化对守约者诚信行为的保护力度，提高违法违约成本，促进诚信社会构建。</w:t>
      </w:r>
    </w:p>
    <w:p w14:paraId="0B256E8B" w14:textId="395D5B9B" w:rsidR="008E2D19" w:rsidRPr="007107DF" w:rsidRDefault="008E2D19" w:rsidP="007107DF">
      <w:pPr>
        <w:pStyle w:val="a7"/>
        <w:shd w:val="clear" w:color="auto" w:fill="FFFFFF"/>
        <w:adjustRightInd w:val="0"/>
        <w:snapToGrid w:val="0"/>
        <w:spacing w:beforeLines="50" w:before="156" w:beforeAutospacing="0" w:after="0" w:afterAutospacing="0" w:line="300" w:lineRule="auto"/>
        <w:outlineLvl w:val="1"/>
        <w:rPr>
          <w:b/>
          <w:bCs/>
          <w:color w:val="333333"/>
          <w:spacing w:val="30"/>
        </w:rPr>
      </w:pPr>
      <w:bookmarkStart w:id="13" w:name="_Toc24657758"/>
      <w:r w:rsidRPr="007107DF">
        <w:rPr>
          <w:b/>
          <w:bCs/>
          <w:color w:val="333333"/>
          <w:spacing w:val="30"/>
        </w:rPr>
        <w:t>（一）关于合同效力</w:t>
      </w:r>
      <w:bookmarkEnd w:id="13"/>
    </w:p>
    <w:p w14:paraId="360E8E9B"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人民法院在审理合同纠纷案件过程中，要依职权审查合同是否存在无效的情形，注意无效与可撤销、未生效、效力待定等合同效力形态之间的区别，准确认定合同效力，并根据效力的不同情形，结合当事人的诉讼请求，确定相应的民事责任。</w:t>
      </w:r>
    </w:p>
    <w:p w14:paraId="6781AE6B"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30.【强制性规定的识别】合同法施行后，针对一些人民法院动辄以违反法律、行政法规的强制性规定为由认定合同无效，不当扩大无效合同范围的情形，合同法司法解释（二）第14条将《合同法》第52条第5项规定的“强制性规定”明确限于“效力性强制性规定”。此后，《最高人民法院关于当前形势下审理民商事合同纠纷案件若干问题的指导意见》进一步提出了“管理性强制性规定”的概念，指出违反管理性强制性规定的，人民法院应当根据具体情形认定合同效力。随着这一概念的提出，审判实践中又出现了另一种倾向，有的人民法院认为凡是行政管理性质的强制性规定都属于“管理性强制性规定”，不影响合同效力。这种望文生义的认定方法，应予纠正。</w:t>
      </w:r>
    </w:p>
    <w:p w14:paraId="750D1E1A"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人民法院在审理合同纠纷案件时，要依据《民法总则》第153条第1款和合同法司法解释（二）第14条的规定慎重判断“强制性规定”的性质，特别是要在考量强制性规定所保护的法益类型、违法行为的法律后果以及交易安全保护等因素的基础上认定其性质，并在裁判文书中充分说明理由。下列强制性规定，应当认定为“效力性强制性规定”：</w:t>
      </w:r>
      <w:r w:rsidRPr="007107DF">
        <w:rPr>
          <w:color w:val="333333"/>
          <w:spacing w:val="30"/>
        </w:rPr>
        <w:lastRenderedPageBreak/>
        <w:t>强制性规定涉及金融安全、市场秩序、国家宏观政策等公序良俗的；交易标的禁止买卖的，如禁止人体器官、毒品、枪支等买卖；违反特许经营规定的，如场外配资合同；交易方式严重违法的，如违反招投标等竞争性缔约方式订立的合同；交易场所违法的，如在批准的交易场所之外进行期货交易。关于经营范围、交易时间、交易数量等行政管理性质的强制性规定，一般应当认定为“管理性强制性规定”。</w:t>
      </w:r>
    </w:p>
    <w:p w14:paraId="1348C67B"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31.【违反规章的合同效力】违反规章一般情况下不影响合同效力，但该规章的内容涉及金融安全、市场秩序、国家宏观政策等公序良俗的，应当认定合同无效。人民法院在认定规章是否涉及公序良俗时，要在考察规范对象基础上，兼顾监管强度、交易安全保护以及社会影响等方面进行慎重考量，并在裁判文书中进行充分说理。</w:t>
      </w:r>
    </w:p>
    <w:p w14:paraId="69F31A0C"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32.【合同不成立、无效或者被撤销的法律后果】《合同法》第58条就合同无效或者被撤销时的财产返还责任和损害赔偿责任作了规定，但未规定合同不成立的法律后果。考虑到合同不成立时也可能发生财产返还和损害赔偿责任问题，故应当参照适用该条的规定。</w:t>
      </w:r>
    </w:p>
    <w:p w14:paraId="2E3B357F"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在确定合同不成立、无效或者被撤销后财产返还或者折价补偿范围时，要根据诚实信用原则的要求，在当事人之间合理分配，不能使不诚信的当事人因合同不成立、无效或者被撤销而获益。合同不成立、无效或者被撤销情况下，当事人所承担的缔约过失责任不应超过合同履行利益。比如，依据《最高人民法院关于审理建设工程施工合同纠纷案件适用法律问题的解释》第2条规定，建设工程施工合同无效，在建设工程经竣工验收合格情况下，可以参照合同约定支付工程款，但除非增加了合同约定之外新的工程项目，一般不应超出合同约定支付工程款。</w:t>
      </w:r>
    </w:p>
    <w:p w14:paraId="30801BA2"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33.【财产返还与折价补偿】合同不成立、无效或者被撤销后，在确定财产返还时，要充分考虑财产增值或者贬值的因素。双务合同不成立、无效或者被撤销后，双方因该合同取得财产的，应当相互返还。应予返还的股权、房屋等财产相对于合同约定价款出现增值或者贬值的，人民法院要综合考虑市场因素、受让人的经营或者添附等行为与财产增值或者贬值之间的关联性，在当事人之间合理分配或者分担，避免一方因合同不成立、无效或者被撤销而获益。在标的物已经灭失、转售他人或者其他无法返还的情况下，当事人主张返还原物的，人民法院不予支持，但其主张折价补偿的，人民法院依法予以支持。折价时，应当以当事人交易时约定的价款为基础，同时考虑当事人在标的物灭失或者转售时的获益情况综合确定补偿标准。标的物灭失时当事人获得的保险金或</w:t>
      </w:r>
      <w:r w:rsidRPr="007107DF">
        <w:rPr>
          <w:color w:val="333333"/>
          <w:spacing w:val="30"/>
        </w:rPr>
        <w:lastRenderedPageBreak/>
        <w:t>者其他赔偿金，转售时取得的对价，均属于当事人因标的物而获得的利益。对获益高于或者低于价款的部分，也应当在当事人之间合理分配或者分担。</w:t>
      </w:r>
    </w:p>
    <w:p w14:paraId="3DB0EF2B"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34.【价款返还】双务合同不成立、无效或者被撤销时，标的物返还与价款返还互为对待给付，双方应当同时返还。关于应否支付利息问题，只要一方对标的物有使用情形的，一般应当支付使用费，该费用可与占有价款一方应当支付的资金占用费相互抵销，故在一方返还原物前，另一方仅须支付本金，而无须支付利息。</w:t>
      </w:r>
    </w:p>
    <w:p w14:paraId="47D40BE1"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35.【损害赔偿】合同不成立、无效或者被撤销时，仅返还财产或者折价补偿不足以弥补损失，一方还可以向有过错的另一方请求损害赔偿。在确定损害赔偿范围时，既要根据当事人的过错程度合理确定责任，又要考虑在确定财产返还范围时已经考虑过的财产增值或者贬值因素，避免双重获利或者双重受损的现象发生。</w:t>
      </w:r>
    </w:p>
    <w:p w14:paraId="2CD8869D"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36.【合同无效时的释明问题】在双务合同中，原告起诉请求确认合同有效并请求继续履行合同，被告主张合同无效的，或者原告起诉请求确认合同无效并返还财产，而被告主张合同有效的，都要防止机械适用“不告不理”原则，仅就当事人的诉讼请求进行审理，而应向原告释明变更或者增加诉讼请求，或者向被告释明提出同时履行抗辩，尽可能一次性解决纠纷。例如，基于合同有给付行为的原告请求确认合同无效，但并未提出返还原物或者折价补偿、赔偿损失等请求的，人民法院应当向其释明，告知其一并提出相应诉讼请求；原告请求确认合同无效并要求被告返还原物或者赔偿损失，被告基于合同也有给付行为的，人民法院同样应当向被告释明，告知其也可以提出返还请求；人民法院经审理认定合同无效的，除了要在判决书“本院认为”部分对同时返还作出认定外，还应当在判项中作出明确表述，避免因判令单方返还而出现不公平的结果。</w:t>
      </w:r>
    </w:p>
    <w:p w14:paraId="09B100A4"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第一审人民法院未予释明，第二审人民法院认为应当对合同不成立、无效或者被撤销的法律后果作出判决的，可以直接释明并改判。当然，如果返还财产或者赔偿损失的范围确实难以确定或者双方争议较大的，也可以告知当事人通过另行起诉等方式解决，并在裁判文书中予以明确。</w:t>
      </w:r>
    </w:p>
    <w:p w14:paraId="6672519E"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当事人按照释明变更诉讼请求或者提出抗辩的，人民法院应当将其归纳为案件争议焦点，组织当事人充分举证、质证、辩论。</w:t>
      </w:r>
    </w:p>
    <w:p w14:paraId="4AB20386"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lastRenderedPageBreak/>
        <w:t xml:space="preserve">　　37.【未经批准合同的效力】法律、行政法规规定某类合同应当办理批准手续生效的，如商业银行法、证券法、保险法等法律规定购买商业银行、证券公司、保险公司5%以上股权须经相关主管部门批准，依据《合同法》第44条第2款的规定，批准是合同的法定生效条件，未经批准的合同因欠缺法律规定的特别生效条件而未生效。实践中的一个突出问题是，把未生效合同认定为无效合同，或者虽认定为未生效，却按无效合同处理。无效合同从本质上来说是欠缺合同的有效要件，或者具有合同无效的法定事由，自始不发生法律效力。而未生效合同已具备合同的有效要件，对双方具有一定的拘束力，任何一方不得擅自撤回、解除、变更，但因欠缺法律、行政法规规定或当事人约定的特别生效条件，在该生效条件成就前，不能产生请求对方履行合同主要权利义务的法律效力。</w:t>
      </w:r>
    </w:p>
    <w:p w14:paraId="2A3DFF74"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38.【报批义务及相关违约条款独立生效】须经行政机关批准生效的合同，对报批义务及未履行报批义务的违约责任等相关内容作出专门约定的，该约定独立生效。一方因另一方不履行报批义务，请求解除合同并请求其承担合同约定的相应违约责任的，人民法院依法予以支持。</w:t>
      </w:r>
    </w:p>
    <w:p w14:paraId="277DBB77"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39.【报批义务的释明】须经行政机关批准生效的合同，一方请求另一方履行合同主要权利义务的，人民法院应当向其释明，将诉讼请求变更为请求履行报批义务。一方变更诉讼请求的，人民法院依法予以支持；经释明后当事人拒绝变更的，应当驳回其诉讼请求，但不影响其另行提起诉讼。</w:t>
      </w:r>
    </w:p>
    <w:p w14:paraId="1D8D9229"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40.【判决履行报批义务后的处理】人民法院判决一方履行报批义务后，该当事人拒绝履行，经人民法院强制执行仍未履行，对方请求其承担合同违约责任的，人民法院依法予以支持。一方依据判决履行报批义务，行政机关予以批准，合同发生完全的法律效力，其请求对方履行合同的，人民法院依法予以支持；行政机关没有批准，合同不具有法律上的可履行性，一方请求解除合同的，人民法院依法予以支持。</w:t>
      </w:r>
    </w:p>
    <w:p w14:paraId="5B2CDEC6"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41.【盖章行为的法律效力】司法实践中，有些公司有意刻制两套甚至多套公章，有的法定代表人或者代理人甚至私刻公章，订立合同时恶意加盖非备案的公章或者假公章，发生纠纷后法人以加盖的是假公章为由否定合同效力的情形并不鲜见。人民法院在审理案件时，应当主要审查签约人于盖章之时有无代表权或者代理权，从而根据代表或者代理的相关规则来确定合同的效力。</w:t>
      </w:r>
    </w:p>
    <w:p w14:paraId="636B2E64"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lastRenderedPageBreak/>
        <w:t xml:space="preserve">　　法定代表人或者其授权之人在合同上加盖法人公章的行为，表明其是以法人名义签订合同，除《公司法》第16条等法律对其职权有特别规定的情形外，应当由法人承担相应的法律后果。法人以法定代表人事后已无代表权、加盖的是假章、所盖之章与备案公章不一致等为由否定合同效力的，人民法院不予支持。</w:t>
      </w:r>
    </w:p>
    <w:p w14:paraId="21DF91B7"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代理人以被代理人名义签订合同，要取得合法授权。代理人取得合法授权后，以被代理人名义签订的合同，应当由被代理人承担责任。被代理人以代理人事后已无代理权、加盖的是假章、所盖之章与备案公章不一致等为由否定合同效力的，人民法院不予支持。</w:t>
      </w:r>
    </w:p>
    <w:p w14:paraId="5B83BD76" w14:textId="2152F14B" w:rsidR="00076A46" w:rsidRDefault="008E2D19" w:rsidP="00076A46">
      <w:pPr>
        <w:pStyle w:val="a7"/>
        <w:shd w:val="clear" w:color="auto" w:fill="FFFFFF"/>
        <w:adjustRightInd w:val="0"/>
        <w:snapToGrid w:val="0"/>
        <w:spacing w:beforeLines="50" w:before="156" w:beforeAutospacing="0" w:after="0" w:afterAutospacing="0" w:line="300" w:lineRule="auto"/>
        <w:ind w:firstLine="609"/>
        <w:rPr>
          <w:color w:val="333333"/>
          <w:spacing w:val="30"/>
        </w:rPr>
      </w:pPr>
      <w:r w:rsidRPr="007107DF">
        <w:rPr>
          <w:color w:val="333333"/>
          <w:spacing w:val="30"/>
        </w:rPr>
        <w:t>42.【撤销权的行使】撤销权应当由当事人行使。当事人未请求撤销的，人民法院不应当依职权撤销合同。一方请求另一方履行合同，另一方以合同具有可撤销事由提出抗辩的，人民法院应当在审查合同是否具有可撤销事由以及是否超过法定期间等事实的基础上，对合同是否可撤销作出判断，不能仅以当事人未提起诉讼或者反诉为由不予审查或者不予支持。一方主张合同无效，依据的却是可撤销事由，此时人民法院应当全面审查合同是否具有无效事由以及当事人主张的可撤销事由。当事人关于合同无效的事由成立的，人民法院应当认定合同无效。当事人主张合同无效的理由不成立，而可撤销的事由成立的，因合同无效和可撤销的后果相同，人民法院也可以结合当事人的诉讼请求，直接判决撤销合同。 </w:t>
      </w:r>
    </w:p>
    <w:p w14:paraId="18E5D5BA" w14:textId="591025B7" w:rsidR="008E2D19" w:rsidRPr="00076A46" w:rsidRDefault="008E2D19" w:rsidP="00076A46">
      <w:pPr>
        <w:pStyle w:val="a7"/>
        <w:shd w:val="clear" w:color="auto" w:fill="FFFFFF"/>
        <w:adjustRightInd w:val="0"/>
        <w:snapToGrid w:val="0"/>
        <w:spacing w:beforeLines="50" w:before="156" w:beforeAutospacing="0" w:after="0" w:afterAutospacing="0" w:line="300" w:lineRule="auto"/>
        <w:outlineLvl w:val="1"/>
        <w:rPr>
          <w:b/>
          <w:bCs/>
          <w:color w:val="333333"/>
          <w:spacing w:val="30"/>
        </w:rPr>
      </w:pPr>
      <w:bookmarkStart w:id="14" w:name="_Toc24657759"/>
      <w:r w:rsidRPr="00076A46">
        <w:rPr>
          <w:b/>
          <w:bCs/>
          <w:color w:val="333333"/>
          <w:spacing w:val="30"/>
        </w:rPr>
        <w:t>（二）关于合同履行与救济</w:t>
      </w:r>
      <w:bookmarkEnd w:id="14"/>
    </w:p>
    <w:p w14:paraId="4444F58B"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在认定以物抵债协议的性质和效力时，要根据订立协议时履行期限是否已经届满予以区别对待。合同解除、违约责任都是非违约方寻求救济的主要方式，人民法院在认定合同应否解除时，要根据当事人有无解除权、是约定解除还是法定解除等不同情形，分别予以处理。在确定违约责任时，尤其要注意依法适用违约金调整的相关规则，避免简单地以民间借贷利率的司法保护上限作为调整依据。</w:t>
      </w:r>
    </w:p>
    <w:p w14:paraId="248CBF72"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43.【抵销】抵销权既可以通知的方式行使，也可以提出抗辩或者提起反诉的方式行使。抵销的意思表示自到达对方时生效，抵销一经生效，其效力溯及自抵销条件成就之时，双方互负的债务在同等数额内消灭。双方互负的债务数额，是截至抵销条件成就之时各自负有的包括主债务、利息、违约金、赔偿金等在内的全部债务数额。行使抵销权一方享有的债权不足以抵销全部债务数额，当事人对抵销顺序又没有特别约定的，应当根据实现债权的费用、利息、主债务的顺序进行抵销。</w:t>
      </w:r>
    </w:p>
    <w:p w14:paraId="46994C1C"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lastRenderedPageBreak/>
        <w:t xml:space="preserve">　　44.【履行期届满后达成的以物抵债协议】当事人在债务履行期限届满后达成以物抵债协议，抵债物尚未交付债权人，债权人请求债务人交付的，人民法院要着重审查以物抵债协议是否存在恶意损害第三人合法权益等情形，避免虚假诉讼的发生。经审查，不存在以上情况，且无其他无效事由的，人民法院依法予以支持。</w:t>
      </w:r>
    </w:p>
    <w:p w14:paraId="0209A3E5"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当事人在一审程序中因达成以物抵债协议申请撤回起诉的，人民法院可予准许。当事人在二审程序中申请撤回上诉的，人民法院应当告知其申请撤回起诉。当事人申请撤回起诉，经审查不损害国家利益、社会公共利益、他人合法权益的，人民法院可予准许。当事人不申请撤回起诉，请求人民法院出具调解书对以物抵债协议予以确认的，因债务人完全可以立即履行该协议，没有必要由人民法院出具调解书，故人民法院不应准许，同时应当继续对原债权债务关系进行审理。</w:t>
      </w:r>
    </w:p>
    <w:p w14:paraId="46E133E0"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45.【履行期届满前达成的以物抵债协议】当事人在债务履行期届满前达成以物抵债协议，抵债物尚未交付债权人，债权人请求债务人交付的，因此种情况不同于本纪要第71条规定的让与担保，人民法院应当向其释明，其应当根据原债权债务关系提起诉讼。经释明后当事人仍拒绝变更诉讼请求的，应当驳回其诉讼请求，但不影响其根据原债权债务关系另行提起诉讼。</w:t>
      </w:r>
    </w:p>
    <w:p w14:paraId="488FEE3F"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46.【通知解除的条件】审判实践中，部分人民法院对合同法司法解释（二）第24条的理解存在偏差，认为不论发出解除通知的一方有无解除权，只要另一方未在异议期限内以起诉方式提出异议，就判令解除合同，这不符合合同法关于合同解除权行使的有关规定。对该条的准确理解是，只有享有法定或者约定解除权的当事人才能以通知方式解除合同。不享有解除权的一方向另一方发出解除通知，另一方即便未在异议期限内提起诉讼，也不发生合同解除的效果。人民法院在审理案件时，应当审查发出解除通知的一方是否享有约定或者法定的解除权来决定合同应否解除，不能仅以受通知一方在约定或者法定的异议期限届满内未起诉这一事实就认定合同已经解除。</w:t>
      </w:r>
    </w:p>
    <w:p w14:paraId="54B3B782"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47.【约定解除条件】合同约定的解除条件成就时，守约方以此为由请求解除合同的，人民法院应当审查违约方的违约程度是否显著轻微，是否影响守约方合同目的实现，根据诚实信用原则，确定合同应否解除。违约方的违约程度显著轻微，不影响守约方合同目的实现，守约方请求解除合同的，人民法院不予支持；反之，则依法予以支持。</w:t>
      </w:r>
    </w:p>
    <w:p w14:paraId="0D93E127"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lastRenderedPageBreak/>
        <w:t xml:space="preserve">　　48.【违约方起诉解除】违约方不享有单方解除合同的权利。但是，在一些长期性合同如房屋租赁合同履行过程中，双方形成合同僵局，一概不允许违约方通过起诉的方式解除合同，有时对双方都不利。在此前提下，符合下列条件，违约方起诉请求解除合同的，人民法院依法予以支持：</w:t>
      </w:r>
    </w:p>
    <w:p w14:paraId="7D31505C"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（1）违约方不存在恶意违约的情形；</w:t>
      </w:r>
    </w:p>
    <w:p w14:paraId="67E4C64A"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（2）违约方继续履行合同，对其显失公平；</w:t>
      </w:r>
    </w:p>
    <w:p w14:paraId="4E98023D"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（3）守约方拒绝解除合同，违反诚实信用原则。</w:t>
      </w:r>
    </w:p>
    <w:p w14:paraId="389AB394"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人民法院判决解除合同的，违约方本应当承担的违约责任不能因解除合同而减少或者免除。</w:t>
      </w:r>
    </w:p>
    <w:p w14:paraId="21E8114E"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49.【合同解除的法律后果】合同解除时，一方依据合同中有关违约金、约定损害赔偿的计算方法、定金责任等违约责任条款的约定，请求另一方承担违约责任的，人民法院依法予以支持。</w:t>
      </w:r>
    </w:p>
    <w:p w14:paraId="5EEC9D53"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双务合同解除时人民法院的释明问题，参照本纪要第36条的相关规定处理。</w:t>
      </w:r>
    </w:p>
    <w:p w14:paraId="365C57A3"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50.【违约金过高标准及举证责任】认定约定违约金是否过高，一般应当以《合同法》第113条规定的损失为基础进行判断，这里的损失包括合同履行后可以获得的利益。除借款合同外的双务合同，作为对价的价款或者报酬给付之债，并非借款合同项下的还款义务，不能以受法律保护的民间借贷利率上限作为判断违约金是否过高的标准，而应当兼顾合同履行情况、当事人过错程度以及预期利益等因素综合确定。主张违约金过高的违约方应当对违约金是否过高承担举证责任。</w:t>
      </w:r>
    </w:p>
    <w:p w14:paraId="0F9AE3EE" w14:textId="5755E8E7" w:rsidR="008E2D19" w:rsidRPr="00076A46" w:rsidRDefault="008E2D19" w:rsidP="00076A46">
      <w:pPr>
        <w:pStyle w:val="a7"/>
        <w:shd w:val="clear" w:color="auto" w:fill="FFFFFF"/>
        <w:adjustRightInd w:val="0"/>
        <w:snapToGrid w:val="0"/>
        <w:spacing w:beforeLines="50" w:before="156" w:beforeAutospacing="0" w:after="0" w:afterAutospacing="0" w:line="300" w:lineRule="auto"/>
        <w:outlineLvl w:val="1"/>
        <w:rPr>
          <w:b/>
          <w:bCs/>
          <w:color w:val="333333"/>
          <w:spacing w:val="30"/>
        </w:rPr>
      </w:pPr>
      <w:bookmarkStart w:id="15" w:name="_Toc24657760"/>
      <w:r w:rsidRPr="00076A46">
        <w:rPr>
          <w:b/>
          <w:bCs/>
          <w:color w:val="333333"/>
          <w:spacing w:val="30"/>
        </w:rPr>
        <w:t>（三）关于借款合同</w:t>
      </w:r>
      <w:bookmarkEnd w:id="15"/>
    </w:p>
    <w:p w14:paraId="4426E186"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人民法院在审理借款合同纠纷案件过程中，要根据防范化解重大金融风险、金融服务实体经济、降低融资成本的精神，区别对待金融借贷与民间借贷，并适用不同规则与利率标准。要依法否定高利转贷行为、职业放贷行为的效力，充分发挥司法的示范、引导作用，促进金融服务实体经济。要注意到，为深化利率市场化改革，推动降低实体利率水平，自2019年8月20日起，中国人民银行已经授权全国银行间同业拆借中心于每月20日（遇节假日顺延）9时30分公布贷款市场报价利率（LPR）,中国人民银行贷款基准利率这一标准已经取消。因此，自此之后人民法院裁判贷款利息的基本标准应改为全国银行间同业拆借中心公</w:t>
      </w:r>
      <w:r w:rsidRPr="007107DF">
        <w:rPr>
          <w:color w:val="333333"/>
          <w:spacing w:val="30"/>
        </w:rPr>
        <w:lastRenderedPageBreak/>
        <w:t>布的贷款市场报价利率。应予注意的是，贷款利率标准尽管发生了变化，但存款基准利率并未发生相应变化，相关标准仍可适用。</w:t>
      </w:r>
    </w:p>
    <w:p w14:paraId="22A6B722"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51.【变相利息的认定】 金融借款合同纠纷中，借款人认为金融机构以服务费、咨询费、顾问费、管理费等为名变相收取利息，金融机构或者由其指定的人收取的相关费用不合理的，人民法院可以根据提供服务的实际情况确定借款人应否支付或者酌减相关费用。</w:t>
      </w:r>
    </w:p>
    <w:p w14:paraId="70CC6AF1"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52.【高利转贷】民间借贷中，出借人的资金必须是自有资金。出借人套取金融机构信贷资金又高利转贷给借款人的民间借贷行为，既增加了融资成本，又扰乱了信贷秩序，根据民间借贷司法解释第14条第1项的规定，应当认定此类民间借贷行为无效。人民法院在适用该条规定时，应当注意把握以下几点：一是要审查出借人的资金来源。借款人能够举证证明在签订借款合同时出借人尚欠银行贷款未还的，一般可以推定为出借人套取信贷资金，但出借人能够举反证予以推翻的除外；二是从宽认定“高利”转贷行为的标准，只要出借人通过转贷行为牟利的，就可以认定为是“高利”转贷行为；三是对该条规定的“借款人事先知道或者应当知道的”要件，不宜把握过苛。实践中，只要出借人在签订借款合同时存在尚欠银行贷款未还事实的，一般可以认为满足了该条规定的“借款人事先知道或者应当知道”这一要件。</w:t>
      </w:r>
    </w:p>
    <w:p w14:paraId="6D2F865A"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53.【职业放贷人】未依法取得放贷资格的以民间借贷为业的法人，以及以民间借贷为业的非法人组织或者自然人从事的民间借贷行为，应当依法认定无效。同一出借人在一定期间内多次反复从事有偿民间借贷行为的，一般可以认定为是职业放贷人。民间借贷比较活跃的地方的高级人民法院或者经其授权的中级人民法院，可以根据本地区的实际情况制定具体的认定标准。</w:t>
      </w:r>
    </w:p>
    <w:p w14:paraId="53420CA0"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jc w:val="center"/>
        <w:outlineLvl w:val="0"/>
        <w:rPr>
          <w:b/>
          <w:bCs/>
          <w:color w:val="333333"/>
          <w:spacing w:val="30"/>
        </w:rPr>
      </w:pPr>
      <w:r w:rsidRPr="007107DF">
        <w:rPr>
          <w:b/>
          <w:bCs/>
          <w:color w:val="333333"/>
          <w:spacing w:val="30"/>
        </w:rPr>
        <w:t xml:space="preserve">　　</w:t>
      </w:r>
      <w:bookmarkStart w:id="16" w:name="_Toc24657761"/>
      <w:r w:rsidRPr="007107DF">
        <w:rPr>
          <w:b/>
          <w:bCs/>
          <w:color w:val="333333"/>
          <w:spacing w:val="30"/>
        </w:rPr>
        <w:t>四、关于担保纠纷案件的审理</w:t>
      </w:r>
      <w:bookmarkEnd w:id="16"/>
    </w:p>
    <w:p w14:paraId="27EB3F8D"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会议认为，要注意担保法及其司法解释与物权法对独立担保、混合担保、担保期间等有关制度的不同规定，根据新的规定优于旧的规定的法律适用规则，优先适用物权法的规定。从属性是担保的基本属性，要慎重认定独立担保行为的效力，将其严格限定在法律或者司法解释明确规定的情形。要根据区分原则，准确认定担保合同效力。要坚持物权法定、公示公信原则，区分不动产与动产担保物权在物权变动、效力规则等方面的异同，准确适用法律。要充分发挥担保对缓解融资难融资贵问题的积极作用，不轻易否定新类型担保、非典型担保的合同效力及担保功能。</w:t>
      </w:r>
    </w:p>
    <w:p w14:paraId="06F1CD82" w14:textId="3DD2BFAD" w:rsidR="008E2D19" w:rsidRPr="00076A46" w:rsidRDefault="008E2D19" w:rsidP="00076A46">
      <w:pPr>
        <w:pStyle w:val="a7"/>
        <w:shd w:val="clear" w:color="auto" w:fill="FFFFFF"/>
        <w:adjustRightInd w:val="0"/>
        <w:snapToGrid w:val="0"/>
        <w:spacing w:beforeLines="50" w:before="156" w:beforeAutospacing="0" w:after="0" w:afterAutospacing="0" w:line="300" w:lineRule="auto"/>
        <w:outlineLvl w:val="1"/>
        <w:rPr>
          <w:b/>
          <w:bCs/>
          <w:color w:val="333333"/>
          <w:spacing w:val="30"/>
        </w:rPr>
      </w:pPr>
      <w:bookmarkStart w:id="17" w:name="_Toc24657762"/>
      <w:r w:rsidRPr="00076A46">
        <w:rPr>
          <w:b/>
          <w:bCs/>
          <w:color w:val="333333"/>
          <w:spacing w:val="30"/>
        </w:rPr>
        <w:lastRenderedPageBreak/>
        <w:t>（一）关于担保的一般规则</w:t>
      </w:r>
      <w:bookmarkEnd w:id="17"/>
    </w:p>
    <w:p w14:paraId="05659A12"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54.【独立担保】从属性是担保的基本属性，但由银行或者非银行金融机构开立的独立保函除外。独立保函纠纷案件依据《最高人民法院关于审理独立保函纠纷案件若干问题的规定》处理。需要进一步明确的是：凡是由银行或者非银行金融机构开立的符合该司法解释第1条、第3条规定情形的保函，无论是用于国际商事交易还是用于国内商事交易，均不影响保函的效力。银行或者非银行金融机构之外的当事人开立的独立保函，以及当事人有关排除担保从属性的约定，应当认定无效。但是，根据“无效法律行为的转换”原理，在否定其独立担保效力的同时，应当将其认定为从属性担保。此时，如果主合同有效，则担保合同有效，担保人与主债务人承担连带保证责任。主合同无效，则该所谓的独立担保也随之无效，担保人无过错的，不承担责任；担保人有过错的，其承担民事责任的部分，不应超过债务人不能清偿部分的三分之一。</w:t>
      </w:r>
    </w:p>
    <w:p w14:paraId="25D44D9A"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55.【担保责任的范围】担保人承担的担保责任范围不应当大于主债务，是担保从属性的必然要求。当事人约定的担保责任的范围大于主债务的，如针对担保责任约定专门的违约责任、担保责任的数额高于主债务、担保责任约定的利息高于主债务利息、担保责任的履行期先于主债务履行期届满，等等，均应当认定大于主债务部分的约定无效，从而使担保责任缩减至主债务的范围。</w:t>
      </w:r>
    </w:p>
    <w:p w14:paraId="5CB1D51A"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56.【混合担保中担保人之间的追偿问题】被担保的债权既有保证又有第三人提供的物的担保的，担保法司法解释第38条明确规定，承担了担保责任的担保人可以要求其他担保人清偿其应当分担的份额。但《物权法》第176条并未作出类似规定，根据《物权法》第178条关于“担保法与本法的规定不一致的，适用本法”的规定，承担了担保责任的担保人向其他担保人追偿的，人民法院不予支持，但担保人在担保合同中约定可以相互追偿的除外。</w:t>
      </w:r>
    </w:p>
    <w:p w14:paraId="2D491D37"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57.【借新还旧的担保物权】贷款到期后，借款人与贷款人订立新的借款合同，将新贷用于归还旧贷，旧贷因清偿而消灭，为旧贷设立的担保物权也随之消灭。贷款人以旧贷上的担保物权尚未进行涂销登记为由，主张对新贷行使担保物权的，人民法院不予支持，但当事人约定继续为新贷提供担保的除外。</w:t>
      </w:r>
    </w:p>
    <w:p w14:paraId="68F2877E"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58.【担保债权的范围】以登记作为公示方式的不动产担保物权的担保范围，一般应当以登记的范围为准。但是，我国目前不动产担保物</w:t>
      </w:r>
      <w:r w:rsidRPr="007107DF">
        <w:rPr>
          <w:color w:val="333333"/>
          <w:spacing w:val="30"/>
        </w:rPr>
        <w:lastRenderedPageBreak/>
        <w:t>权登记，不同地区的系统设置及登记规则并不一致，人民法院在审理案件时应当充分注意制度设计上的差别，作出符合实际的判断：一是多数省区市的登记系统未设置“担保范围”栏目，仅有“被担保主债权数额（最高债权数额）”的表述，且只能填写固定数字。而当事人在合同中又往往约定担保物权的担保范围包括主债权及其利息、违约金等附属债权，致使合同约定的担保范围与登记不一致。显然，这种不一致是由于该地区登记系统设置及登记规则造成的该地区的普遍现象。人民法院以合同约定认定担保物权的担保范围，是符合实际的妥当选择。二是一些省区市不动产登记系统设置与登记规则比较规范，担保物权登记范围与合同约定一致在该地区是常态或者普遍现象，人民法院在审理案件时，应当以登记的担保范围为准。</w:t>
      </w:r>
    </w:p>
    <w:p w14:paraId="3B44D5AC"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59.【主债权诉讼时效届满的法律后果】抵押权人应当在主债权的诉讼时效期间内行使抵押权。抵押权人在主债权诉讼时效届满前未行使抵押权，抵押人在主债权诉讼时效届满后请求涂销抵押权登记的，人民法院依法予以支持。</w:t>
      </w:r>
    </w:p>
    <w:p w14:paraId="5AC60CB6"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以登记作为公示方法的权利质权，参照适用前款规定。</w:t>
      </w:r>
    </w:p>
    <w:p w14:paraId="7AE28B2A" w14:textId="4D488BAE" w:rsidR="008E2D19" w:rsidRPr="00076A46" w:rsidRDefault="008E2D19" w:rsidP="00076A46">
      <w:pPr>
        <w:pStyle w:val="a7"/>
        <w:shd w:val="clear" w:color="auto" w:fill="FFFFFF"/>
        <w:adjustRightInd w:val="0"/>
        <w:snapToGrid w:val="0"/>
        <w:spacing w:beforeLines="50" w:before="156" w:beforeAutospacing="0" w:after="0" w:afterAutospacing="0" w:line="300" w:lineRule="auto"/>
        <w:outlineLvl w:val="1"/>
        <w:rPr>
          <w:b/>
          <w:bCs/>
          <w:color w:val="333333"/>
          <w:spacing w:val="30"/>
        </w:rPr>
      </w:pPr>
      <w:bookmarkStart w:id="18" w:name="_Toc24657763"/>
      <w:r w:rsidRPr="00076A46">
        <w:rPr>
          <w:b/>
          <w:bCs/>
          <w:color w:val="333333"/>
          <w:spacing w:val="30"/>
        </w:rPr>
        <w:t>（二）关于不动产担保物权</w:t>
      </w:r>
      <w:bookmarkEnd w:id="18"/>
    </w:p>
    <w:p w14:paraId="6001BD6C"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60.【未办理登记的不动产抵押合同的效力】不动产抵押合同依法成立，但未办理抵押登记手续，债权人请求抵押人办理抵押登记手续的，人民法院依法予以支持。因抵押物灭失以及抵押物转让他人等原因不能办理抵押登记，债权人请求抵押人以抵押物的价值为限承担责任的，人民法院依法予以支持，但其范围不得超过抵押权有效设立时抵押人所应当承担的责任。</w:t>
      </w:r>
    </w:p>
    <w:p w14:paraId="3DCCB91E"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61.【房地分别抵押】根据《物权法》第182条之规定，仅以建筑物设定抵押的，抵押权的效力及于占用范围内的土地；仅以建设用地使用权抵押的，抵押权的效力亦及于其上的建筑物。在房地分别抵押，即建设用地使用权抵押给一个债权人，而其上的建筑物又抵押给另一个人的情况下，可能产生两个抵押权的冲突问题。基于“房地一体”规则，此时应当将建筑物和建设用地使用权视为同一财产，从而依照《物权法》第199条的规定确定清偿顺序：登记在先的先清偿；同时登记的，按照债权比例清偿。同一天登记的，视为同时登记。应予注意的是，根据《物权法》第200条的规定，建设用地使用权抵押后，该土地上新增的建筑物不属于抵押财产。</w:t>
      </w:r>
    </w:p>
    <w:p w14:paraId="71E6886A"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lastRenderedPageBreak/>
        <w:t xml:space="preserve">　　62.【抵押权随主债权转让】抵押权是从属于主合同的从权利，根据“从随主”规则，债权转让的，除法律另有规定或者当事人另有约定外，担保该债权的抵押权一并转让。受让人向抵押人主张行使抵押权，抵押人以受让人不是抵押合同的当事人、未办理变更登记等为由提出抗辩的，人民法院不予支持。</w:t>
      </w:r>
    </w:p>
    <w:p w14:paraId="340C4684" w14:textId="751B242C" w:rsidR="008E2D19" w:rsidRPr="00076A46" w:rsidRDefault="008E2D19" w:rsidP="00076A46">
      <w:pPr>
        <w:pStyle w:val="a7"/>
        <w:shd w:val="clear" w:color="auto" w:fill="FFFFFF"/>
        <w:adjustRightInd w:val="0"/>
        <w:snapToGrid w:val="0"/>
        <w:spacing w:beforeLines="50" w:before="156" w:beforeAutospacing="0" w:after="0" w:afterAutospacing="0" w:line="300" w:lineRule="auto"/>
        <w:outlineLvl w:val="1"/>
        <w:rPr>
          <w:b/>
          <w:bCs/>
          <w:color w:val="333333"/>
          <w:spacing w:val="30"/>
        </w:rPr>
      </w:pPr>
      <w:bookmarkStart w:id="19" w:name="_Toc24657764"/>
      <w:r w:rsidRPr="00076A46">
        <w:rPr>
          <w:b/>
          <w:bCs/>
          <w:color w:val="333333"/>
          <w:spacing w:val="30"/>
        </w:rPr>
        <w:t>（三）关于动产担保物权</w:t>
      </w:r>
      <w:bookmarkEnd w:id="19"/>
    </w:p>
    <w:p w14:paraId="55FA011B"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63.【流动质押的设立与监管人的责任】在流动质押中，经常由债权人、出质人与监管人订立三方监管协议，此时应当查明监管人究竟是受债权人的委托还是受出质人的委托监管质物，确定质物是否已经交付债权人，从而判断质权是否有效设立。如果监管人系受债权人的委托监管质物，则其是债权人的直接占有人，应当认定完成了质物交付，质权有效设立。监管人违反监管协议约定，违规向出质人放货、因保管不善导致质物毁损灭失，债权人请求监管人承担违约责任的，人民法院依法予以支持。</w:t>
      </w:r>
    </w:p>
    <w:p w14:paraId="730949C3"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如果监管人系受出质人委托监管质物，表明质物并未交付债权人，应当认定质权未有效设立。尽管监管协议约定监管人系受债权人的委托监管质物，但有证据证明其并未履行监管职责，质物实际上仍由出质人管领控制的，也应当认定质物并未实际交付，质权未有效设立。此时，债权人可以基于质押合同的约定请求质押人承担违约责任，但其范围不得超过质权有效设立时质押人所应当承担的责任。监管人未履行监管职责的，债权人也可以请求监管人承担违约责任。</w:t>
      </w:r>
    </w:p>
    <w:p w14:paraId="465FBFB1"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64.【浮动抵押的效力】企业将其现有的以及将有的生产设备、原材料、半成品及产品等财产设定浮动抵押后，又将其中的生产设备等部分财产设定了动产抵押，并都办理了抵押登记的，根据《物权法》第199条的规定，登记在先的浮动抵押优先于登记在后的动产抵押。</w:t>
      </w:r>
    </w:p>
    <w:p w14:paraId="6249BAE5"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65.【动产抵押权与质权竞存】 同一动产上同时设立质权和抵押权的，应当参照适用《物权法》第199条的规定，根据是否完成公示以及公示先后情况来确定清偿顺序：质权有效设立、抵押权办理了抵押登记的，按照公示先后确定清偿顺序；顺序相同的，按照债权比例清偿；质权有效设立，抵押权未办理抵押登记的，质权优先于抵押权；质权未有效设立，抵押权未办理抵押登记的，因此时抵押权已经有效设立，故抵押权优先受偿。</w:t>
      </w:r>
    </w:p>
    <w:p w14:paraId="4193DBFA"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lastRenderedPageBreak/>
        <w:t xml:space="preserve">　　根据《物权法》第178条规定的精神，担保法司法解释第79条第1款不再适用。</w:t>
      </w:r>
    </w:p>
    <w:p w14:paraId="606AD82A" w14:textId="42D9BF4F" w:rsidR="008E2D19" w:rsidRPr="00076A46" w:rsidRDefault="008E2D19" w:rsidP="00076A46">
      <w:pPr>
        <w:pStyle w:val="a7"/>
        <w:shd w:val="clear" w:color="auto" w:fill="FFFFFF"/>
        <w:adjustRightInd w:val="0"/>
        <w:snapToGrid w:val="0"/>
        <w:spacing w:beforeLines="50" w:before="156" w:beforeAutospacing="0" w:after="0" w:afterAutospacing="0" w:line="300" w:lineRule="auto"/>
        <w:outlineLvl w:val="1"/>
        <w:rPr>
          <w:b/>
          <w:bCs/>
          <w:color w:val="333333"/>
          <w:spacing w:val="30"/>
        </w:rPr>
      </w:pPr>
      <w:bookmarkStart w:id="20" w:name="_Toc24657765"/>
      <w:r w:rsidRPr="00076A46">
        <w:rPr>
          <w:b/>
          <w:bCs/>
          <w:color w:val="333333"/>
          <w:spacing w:val="30"/>
        </w:rPr>
        <w:t>（四）关于非典型担保</w:t>
      </w:r>
      <w:bookmarkEnd w:id="20"/>
    </w:p>
    <w:p w14:paraId="7DF3B4FF"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66.【担保关系的认定】当事人订立的具有担保功能的合同，不存在法定无效情形的，应当认定有效。虽然合同约定的权利义务关系不属于物权法规定的典型担保类型，但是其担保功能应予肯定。</w:t>
      </w:r>
    </w:p>
    <w:p w14:paraId="09739081"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67.【约定担保物权的效力】债权人与担保人订立担保合同，约定以法律、行政法规未禁止抵押或者质押的财产设定以登记作为公示方法的担保，因无法定的登记机构而未能进行登记的，不具有物权效力。当事人请求按照担保合同的约定就该财产折价、变卖或者拍卖所得价款等方式清偿债务的，人民法院依法予以支持，但对其他权利人不具有对抗效力和优先性。</w:t>
      </w:r>
    </w:p>
    <w:p w14:paraId="317B4DB3"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68.【保兑仓交易】保兑仓交易作为一种新类型融资担保方式，其基本交易模式是，以银行信用为载体、以银行承兑汇票为结算工具、由银行控制货权、卖方（或者仓储方）受托保管货物并以承兑汇票与保证金之间的差额作为担保。其基本的交易流程是：卖方、买方和银行订立三方合作协议，其中买方向银行缴存一定比例的承兑保证金，银行向买方签发以卖方为收款人的银行承兑汇票，买方将银行承兑汇票交付卖方作为货款，银行根据买方缴纳的保证金的一定比例向卖方签发提货单，卖方根据提货单向买方交付对应金额的货物，买方销售货物后，将货款再缴存为保证金。</w:t>
      </w:r>
    </w:p>
    <w:p w14:paraId="6260A5A4"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在三方协议中，一般来说，银行的主要义务是及时签发承兑汇票并按约定方式将其交给卖方，卖方的主要义务是根据银行签发的提货单发货，并在买方未及时销售或者回赎货物时，就保证金与承兑汇票之间的差额部分承担责任。银行为保障自身利益，往往还会约定卖方要将货物交给由其指定的当事人监管，并设定质押，从而涉及监管协议以及流动质押等问题。实践中，当事人还可能在前述基本交易模式基础上另行作出其他约定，只要不违反法律、行政法规的效力性强制性规定，这些约定应当认定有效。</w:t>
      </w:r>
    </w:p>
    <w:p w14:paraId="30BF67B6"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一方当事人因保兑仓交易纠纷提起诉讼的，人民法院应当以保兑仓交易合同作为审理案件的基本依据，但买卖双方没有真实买卖关系的除外。</w:t>
      </w:r>
    </w:p>
    <w:p w14:paraId="39FA7082"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lastRenderedPageBreak/>
        <w:t xml:space="preserve">　　69.【无真实贸易背景的保兑仓交易】保兑仓交易以买卖双方有真实买卖关系为前提。双方无真实买卖关系的，该交易属于名为保兑仓交易实为借款合同，保兑仓交易因构成虚伪意思表示而无效，被隐藏的借款合同是当事人的真实意思表示，如不存在其他合同无效情形，应当认定有效。保兑仓交易认定为借款合同关系的，不影响卖方和银行之间担保关系的效力，卖方仍应当承担担保责任。</w:t>
      </w:r>
    </w:p>
    <w:p w14:paraId="57BAF854"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70.【保兑仓交易的合并审理】当事人就保兑仓交易中的不同法律关系的相对方分别或者同时向同一人民法院起诉的，人民法院可以根据民事诉讼法司法解释第221条的规定，合并审理。当事人未起诉某一方当事人的，人民法院可以依职权追加未参加诉讼的当事人为第三人，以便查明相关事实，正确认定责任。</w:t>
      </w:r>
    </w:p>
    <w:p w14:paraId="3AD584D5"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71.【让与担保】债务人或者第三人与债权人订立合同，约定将财产形式上转让至债权人名下，债务人到期清偿债务，债权人将该财产返还给债务人或第三人，债务人到期没有清偿债务，债权人可以对财产拍卖、变卖、折价偿还债权的，人民法院应当认定合同有效。合同如果约定债务人到期没有清偿债务，财产归债权人所有的，人民法院应当认定该部分约定无效，但不影响合同其他部分的效力。</w:t>
      </w:r>
    </w:p>
    <w:p w14:paraId="2C55C2CF"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当事人根据上述合同约定，已经完成财产权利变动的公示方式转让至债权人名下，债务人到期没有清偿债务，债权人请求确认财产归其所有的，人民法院不予支持，但债权人请求参照法律关于担保物权的规定对财产拍卖、变卖、折价优先偿还其债权的，人民法院依法予以支持。债务人因到期没有清偿债务，请求对该财产拍卖、变卖、折价偿还所欠债权人合同项下债务的，人民法院亦应依法予以支持。</w:t>
      </w:r>
    </w:p>
    <w:p w14:paraId="711F5A76" w14:textId="275F2FF4" w:rsidR="008E2D19" w:rsidRPr="007107DF" w:rsidRDefault="008E2D19" w:rsidP="007107DF">
      <w:pPr>
        <w:pStyle w:val="a7"/>
        <w:shd w:val="clear" w:color="auto" w:fill="FFFFFF"/>
        <w:adjustRightInd w:val="0"/>
        <w:snapToGrid w:val="0"/>
        <w:spacing w:beforeLines="50" w:before="156" w:beforeAutospacing="0" w:after="0" w:afterAutospacing="0" w:line="300" w:lineRule="auto"/>
        <w:jc w:val="center"/>
        <w:outlineLvl w:val="0"/>
        <w:rPr>
          <w:b/>
          <w:bCs/>
          <w:color w:val="333333"/>
          <w:spacing w:val="30"/>
        </w:rPr>
      </w:pPr>
      <w:bookmarkStart w:id="21" w:name="_Toc24657766"/>
      <w:r w:rsidRPr="007107DF">
        <w:rPr>
          <w:b/>
          <w:bCs/>
          <w:color w:val="333333"/>
          <w:spacing w:val="30"/>
        </w:rPr>
        <w:t>五、关于金融消费者权益保护纠纷案件的审理</w:t>
      </w:r>
      <w:bookmarkEnd w:id="21"/>
    </w:p>
    <w:p w14:paraId="5ADE43D9"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会议认为，在审理金融产品发行人、销售者以及金融服务提供者（以下简称卖方机构）与金融消费者之间因销售各类高风险等级金融产品和为金融消费者参与高风险等级投资活动提供服务而引发的民商事案件中，必须坚持“卖者尽责、买者自负”原则，将金融消费者是否充分了解相关金融产品、投资活动的性质及风险并在此基础上作出自主决定作为应当查明的案件基本事实，依法保护金融消费者的合法权益，规范卖方机构的经营行为，推动形成公开、公平、公正的市场环境和市场秩序。</w:t>
      </w:r>
    </w:p>
    <w:p w14:paraId="1BDDB3BA"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lastRenderedPageBreak/>
        <w:t xml:space="preserve">　　72.【适当性义务】 适当性义务是指卖方机构在向金融消费者推介、销售银行理财产品、保险投资产品、信托理财产品、券商集合理财计划、杠杆基金份额、期权及其他场外衍生品等高风险等级金融产品，以及为金融消费者参与融资融券、新三板、创业板、科创板、期货等高风险等级投资活动提供服务的过程中，必须履行的了解客户、了解产品、将适当的产品（或者服务）销售（或者提供）给适合的金融消费者等义务。卖方机构承担适当性义务的目的是为了确保金融消费者能够在充分了解相关金融产品、投资活动的性质及风险的基础上作出自主决定，并承受由此产生的收益和风险。在推介、销售高风险等级金融产品和提供高风险等级金融服务领域，适当性义务的履行是“卖者尽责”的主要内容，也是“买者自负”的前提和基础。</w:t>
      </w:r>
    </w:p>
    <w:p w14:paraId="23449C85"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73.【法律适用规则】在确定卖方机构适当性义务的内容时，应当以合同法、证券法、证券投资基金法、信托法等法律规定的基本原则和国务院发布的规范性文件作为主要依据。相关部门在部门规章、规范性文件中对高风险等级金融产品的推介、销售，以及为金融消费者参与高风险等级投资活动提供服务作出的监管规定，与法律和国务院发布的规范性文件的规定不相抵触的，可以参照适用。</w:t>
      </w:r>
    </w:p>
    <w:p w14:paraId="1A356BC4"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74.【责任主体】金融产品发行人、销售者未尽适当性义务，导致金融消费者在购买金融产品过程中遭受损失的，金融消费者既可以请求金融产品的发行人承担赔偿责任，也可以请求金融产品的销售者承担赔偿责任，还可以根据《民法总则》第167条的规定，请求金融产品的发行人、销售者共同承担连带赔偿责任。发行人、销售者请求人民法院明确各自的责任份额的，人民法院可以在判决发行人、销售者对金融消费者承担连带赔偿责任的同时，明确发行人、销售者在实际承担了赔偿责任后，有权向责任方追偿其应当承担的赔偿份额。</w:t>
      </w:r>
    </w:p>
    <w:p w14:paraId="0E7402B1"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金融服务提供者未尽适当性义务，导致金融消费者在接受金融服务后参与高风险等级投资活动遭受损失的，金融消费者可以请求金融服务提供者承担赔偿责任。</w:t>
      </w:r>
    </w:p>
    <w:p w14:paraId="1397F487"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75.【举证责任分配】在案件审理过程中，金融消费者应当对购买产品（或者接受服务）、遭受的损失等事实承担举证责任。卖方机构对其是否履行了适当性义务承担举证责任。卖方机构不能提供其已经建立了金融产品（或者服务）的风险评估及相应管理制度、对金融消费者的风险认知、风险偏好和风险承受能力进行了测试、向金融消费者告知产</w:t>
      </w:r>
      <w:r w:rsidRPr="007107DF">
        <w:rPr>
          <w:color w:val="333333"/>
          <w:spacing w:val="30"/>
        </w:rPr>
        <w:lastRenderedPageBreak/>
        <w:t>品（或者服务）的收益和主要风险因素等相关证据的，应当承担举证不能的法律后果。</w:t>
      </w:r>
    </w:p>
    <w:p w14:paraId="478CA9AC"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76.【告知说明义务】告知说明义务的履行是金融消费者能够真正了解各类高风险等级金融产品或者高风险等级投资活动的投资风险和收益的关键，人民法院应当根据产品、投资活动的风险和金融消费者的实际情况，综合理性人能够理解的客观标准和金融消费者能够理解的主观标准来确定卖方机构是否已经履行了告知说明义务。卖方机构简单地以金融消费者手写了诸如“本人明确知悉可能存在本金损失风险”等内容主张其已经履行了告知说明义务，不能提供其他相关证据的，人民法院对其抗辩理由不予支持。</w:t>
      </w:r>
    </w:p>
    <w:p w14:paraId="7A560206"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77.【损失赔偿数额】卖方机构未尽适当性义务导致金融消费者损失的，应当赔偿金融消费者所受的实际损失。实际损失为损失的本金和利息，利息按照中国人民银行发布的同期同类存款基准利率计算。</w:t>
      </w:r>
    </w:p>
    <w:p w14:paraId="50989884"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金融消费者因购买高风险等级金融产品或者为参与高风险投资活动接受服务，以卖方机构存在欺诈行为为由，主张卖方机构应当根据《消费者权益保护法》第55条的规定承担惩罚性赔偿责任的，人民法院不予支持。卖方机构的行为构成欺诈的，对金融消费者提出赔偿其支付金钱总额的利息损失请求，应当注意区分不同情况进行处理：</w:t>
      </w:r>
    </w:p>
    <w:p w14:paraId="091FCF02"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（1）金融产品的合同文本中载明了预期收益率、业绩比较基准或者类似约定的，可以将其作为计算利息损失的标准；</w:t>
      </w:r>
    </w:p>
    <w:p w14:paraId="2455250B"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（2）合同文本以浮动区间的方式对预期收益率或者业绩比较基准等进行约定，金融消费者请求按照约定的上限作为利息损失计算标准的，人民法院依法予以支持；</w:t>
      </w:r>
    </w:p>
    <w:p w14:paraId="717ADC01"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3）合同文本虽然没有关于预期收益率、业绩比较基准或者类似约定，但金融消费者能够提供证据证明产品发行的广告宣传资料中载明了预期收益率、业绩比较基准或者类似表述的，应当将宣传资料作为合同文本的组成部分;</w:t>
      </w:r>
    </w:p>
    <w:p w14:paraId="1156F75F"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（4）合同文本及广告宣传资料中未载明预期收益率、业绩比较基准或者类似表述的，按照全国银行间同业拆借中心公布的贷款市场报价利率计算。</w:t>
      </w:r>
    </w:p>
    <w:p w14:paraId="505CA54B"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78．【免责事由】因金融消费者故意提供虚假信息、拒绝听取卖方机构的建议等自身原因导致其购买产品或者接受服务不适当，卖方机构</w:t>
      </w:r>
      <w:r w:rsidRPr="007107DF">
        <w:rPr>
          <w:color w:val="333333"/>
          <w:spacing w:val="30"/>
        </w:rPr>
        <w:lastRenderedPageBreak/>
        <w:t>请求免除相应责任的，人民法院依法予以支持，但金融消费者能够证明该虚假信息的出具系卖方机构误导的除外。卖方机构能够举证证明根据金融消费者的既往投资经验、受教育程度等事实，适当性义务的违反并未影响金融消费者作出自主决定的，对其关于应当由金融消费者自负投资风险的抗辩理由，人民法院依法予以支持。</w:t>
      </w:r>
    </w:p>
    <w:p w14:paraId="0D3E076A" w14:textId="0EC7938A" w:rsidR="008E2D19" w:rsidRPr="007107DF" w:rsidRDefault="008E2D19" w:rsidP="007107DF">
      <w:pPr>
        <w:pStyle w:val="a7"/>
        <w:shd w:val="clear" w:color="auto" w:fill="FFFFFF"/>
        <w:adjustRightInd w:val="0"/>
        <w:snapToGrid w:val="0"/>
        <w:spacing w:beforeLines="50" w:before="156" w:beforeAutospacing="0" w:after="0" w:afterAutospacing="0" w:line="300" w:lineRule="auto"/>
        <w:jc w:val="center"/>
        <w:outlineLvl w:val="0"/>
        <w:rPr>
          <w:b/>
          <w:bCs/>
          <w:color w:val="333333"/>
          <w:spacing w:val="30"/>
        </w:rPr>
      </w:pPr>
      <w:bookmarkStart w:id="22" w:name="_Toc24657767"/>
      <w:r w:rsidRPr="007107DF">
        <w:rPr>
          <w:b/>
          <w:bCs/>
          <w:color w:val="333333"/>
          <w:spacing w:val="30"/>
        </w:rPr>
        <w:t>六、关于证券纠纷案件的审理</w:t>
      </w:r>
      <w:bookmarkEnd w:id="22"/>
    </w:p>
    <w:p w14:paraId="1FAF26D5" w14:textId="786A1A9A" w:rsidR="008E2D19" w:rsidRPr="00076A46" w:rsidRDefault="008E2D19" w:rsidP="00076A46">
      <w:pPr>
        <w:pStyle w:val="a7"/>
        <w:shd w:val="clear" w:color="auto" w:fill="FFFFFF"/>
        <w:adjustRightInd w:val="0"/>
        <w:snapToGrid w:val="0"/>
        <w:spacing w:beforeLines="50" w:before="156" w:beforeAutospacing="0" w:after="0" w:afterAutospacing="0" w:line="300" w:lineRule="auto"/>
        <w:outlineLvl w:val="1"/>
        <w:rPr>
          <w:b/>
          <w:bCs/>
          <w:color w:val="333333"/>
          <w:spacing w:val="30"/>
        </w:rPr>
      </w:pPr>
      <w:bookmarkStart w:id="23" w:name="_Toc24657768"/>
      <w:r w:rsidRPr="00076A46">
        <w:rPr>
          <w:b/>
          <w:bCs/>
          <w:color w:val="333333"/>
          <w:spacing w:val="30"/>
        </w:rPr>
        <w:t>（一）关于证券虚假陈述</w:t>
      </w:r>
      <w:bookmarkEnd w:id="23"/>
    </w:p>
    <w:p w14:paraId="1D716B22"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会议认为，《最高人民法院关于审理证券市场因虚假陈述引发的民事赔偿案件的若干规定》施行以来，证券市场的发展出现了新的情况，证券虚假陈述纠纷案件的审理对司法能力提出了更高的要求。在案件审理过程中，对于需要借助其他学科领域的专业知识进行职业判断的问题，要充分发挥专家证人的作用，使得案件的事实认定符合证券市场的基本常识和普遍认知或者认可的经验法则，责任承担与侵权行为及其主观过错程度相匹配，在切实维护投资者合法权益的同时，通过民事责任追究实现震慑违法的功能，维护公开、公平、公正的资本市场秩序。</w:t>
      </w:r>
    </w:p>
    <w:p w14:paraId="2327C235"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79.【共同管辖的案件移送】原告以发行人、上市公司以外的虚假陈述行为人为被告提起诉讼，被告申请追加发行人或者上市公司为共同被告的，人民法院应予准许。人民法院在追加后发现其他有管辖权的人民法院已先行受理因同一虚假陈述引发的民事赔偿案件的，应当按照民事诉讼法司法解释第36条的规定，将案件移送给先立案的人民法院。</w:t>
      </w:r>
    </w:p>
    <w:p w14:paraId="47523056"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80.【案件审理方式】案件审理方式方面，在传统的“一案一立、分别审理”的方式之外，一些人民法院已经进行了将部分案件合并审理、在示范判决基础上委托调解等改革，初步实现了案件审理的集约化和诉讼经济。在认真总结审判实践经验的基础上，有条件的地方人民法院可以选择个案以《民事诉讼法》第54条规定的代表人诉讼方式进行审理，逐步展开试点工作。就案件审理中涉及的适格原告范围认定、公告通知方式、投资者权利登记、代表人推选、执行款项的发放等具体工作，积极协调相关部门和有关方面，推动信息技术审判辅助平台和常态化、可持续的工作机制建设，保障投资者能够便捷、高效、透明和低成本地维护自身合法权益，为构建符合中国国情的证券民事诉讼制度积累审判经验，培养审判队伍。</w:t>
      </w:r>
    </w:p>
    <w:p w14:paraId="37153F37"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81.【立案登记】多个投资者就同一虚假陈述向人民法院提起诉讼，可以采用代表人诉讼方式对案件进行审理的，人民法院在登记立案</w:t>
      </w:r>
      <w:r w:rsidRPr="007107DF">
        <w:rPr>
          <w:color w:val="333333"/>
          <w:spacing w:val="30"/>
        </w:rPr>
        <w:lastRenderedPageBreak/>
        <w:t>时可以根据原告起诉状中所描述的虚假陈述的数量、性质及其实施日、揭露日或者更正日等时间节点，将投资者作为共同原告统一立案登记。原告主张被告实施了多个虚假陈述的，可以分别立案登记。</w:t>
      </w:r>
    </w:p>
    <w:p w14:paraId="4526F101"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82.【案件甄别及程序决定】人民法院决定采用《民事诉讼法》第54条规定的方式审理案件的，在发出公告前，应当先行就被告的行为是否构成虚假陈述，投资者的交易方向与诱多、诱空的虚假陈述是否一致，以及虚假陈述的实施日、揭露日或者更正日等案件基本事实进行审查。</w:t>
      </w:r>
    </w:p>
    <w:p w14:paraId="01F88CE8"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83.【选定代表人】权利登记的期间届满后，人民法院应当通知当事人在指定期间内完成代表人的推选工作。推选不出代表人的，人民法院可以与当事人商定代表人。人民法院在提出人选时，应当将当事人诉讼请求的典型性和利益诉求的份额等作为考量因素，确保代表行为能够充分、公正地表达投资者的诉讼主张。国家设立的投资者保护机构以自己的名义提起诉讼，或者接受投资者的委托指派工作人员或者委托诉讼代理人参与案件审理活动的，人民法院可以商定该机构或者其代理的当事人作为代表人。</w:t>
      </w:r>
    </w:p>
    <w:p w14:paraId="37425615"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84.【揭露日和更正日的认定】虚假陈述的揭露和更正，是指虚假陈述被市场所知悉、了解，其精确程度并不以“镜像规则”为必要，不要求达到全面、完整、准确的程度。原则上，只要交易市场对监管部门立案调查、权威媒体刊载的揭露文章等信息存在着明显的反应，对一方主张市场已经知悉虚假陈述的抗辩，人民法院依法予以支持。</w:t>
      </w:r>
    </w:p>
    <w:p w14:paraId="06ED2725"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85.【重大性要件的认定】审判实践中，部分人民法院对重大性要件和信赖要件存在着混淆认识，以行政处罚认定的信息披露违法行为对投资者的交易决定没有影响为由否定违法行为的重大性，应当引起注意。重大性是指可能对投资者进行投资决策具有重要影响的信息，虚假陈述已经被监管部门行政处罚的，应当认为是具有重大性的违法行为。在案件审理过程中，对于一方提出的监管部门作出处罚决定的行为不具有重大性的抗辩，人民法院不予支持，同时应当向其释明，该抗辩并非民商事案件的审理范围，应当通过行政复议、行政诉讼加以解决。</w:t>
      </w:r>
    </w:p>
    <w:p w14:paraId="530373CF" w14:textId="0BEB49FB" w:rsidR="008E2D19" w:rsidRPr="00076A46" w:rsidRDefault="008E2D19" w:rsidP="00076A46">
      <w:pPr>
        <w:pStyle w:val="a7"/>
        <w:shd w:val="clear" w:color="auto" w:fill="FFFFFF"/>
        <w:adjustRightInd w:val="0"/>
        <w:snapToGrid w:val="0"/>
        <w:spacing w:beforeLines="50" w:before="156" w:beforeAutospacing="0" w:after="0" w:afterAutospacing="0" w:line="300" w:lineRule="auto"/>
        <w:outlineLvl w:val="1"/>
        <w:rPr>
          <w:b/>
          <w:bCs/>
          <w:color w:val="333333"/>
          <w:spacing w:val="30"/>
        </w:rPr>
      </w:pPr>
      <w:bookmarkStart w:id="24" w:name="_Toc24657769"/>
      <w:r w:rsidRPr="00076A46">
        <w:rPr>
          <w:b/>
          <w:bCs/>
          <w:color w:val="333333"/>
          <w:spacing w:val="30"/>
        </w:rPr>
        <w:t>（二）关于场外配资</w:t>
      </w:r>
      <w:bookmarkEnd w:id="24"/>
    </w:p>
    <w:p w14:paraId="467E9CF9"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会议认为，将证券市场的信用交易纳入国家统一监管的范围，是维护金融市场透明度和金融稳定的重要内容。不受监管的场外配资业务，不仅盲目扩张了资本市场信用交易的规模，也容易冲击资本市场的交易</w:t>
      </w:r>
      <w:r w:rsidRPr="007107DF">
        <w:rPr>
          <w:color w:val="333333"/>
          <w:spacing w:val="30"/>
        </w:rPr>
        <w:lastRenderedPageBreak/>
        <w:t>秩序。融资融券作为证券市场的主要信用交易方式和证券经营机构的核心业务之一，依法属于国家特许经营的金融业务，未经依法批准，任何单位和个人不得非法从事配资业务。</w:t>
      </w:r>
    </w:p>
    <w:p w14:paraId="0258CEF5"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86.【场外配资合同的效力】从审判实践看，场外配资业务主要是指一些P2P公司或者私募类配资公司利用互联网信息技术，搭建起游离于监管体系之外的融资业务平台，将资金融出方、资金融入方即用资人和券商营业部三方连接起来，配资公司利用计算机软件系统的二级分仓功能将其自有资金或者以较低成本融入的资金出借给用资人，赚取利息收入的行为。这些场外配资公司所开展的经营活动，本质上属于只有证券公司才能依法开展的融资活动，不仅规避了监管部门对融资融券业务中资金来源、投资标的、杠杆比例等诸多方面的限制，也加剧了市场的非理性波动。在案件审理过程中，除依法取得融资融券资格的证券公司与客户开展的融资融券业务外，对其他任何单位或者个人与用资人的场外配资合同，人民法院应当根据《证券法》第142条、合同法司法解释（一）第10条的规定，认定为无效。</w:t>
      </w:r>
    </w:p>
    <w:p w14:paraId="24083FF5"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87.【合同无效的责任承担】场外配资合同被确认无效后，配资方依场外配资合同的约定，请求用资人向其支付约定的利息和费用的，人民法院不予支持。</w:t>
      </w:r>
    </w:p>
    <w:p w14:paraId="6B8A6143"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配资方依场外配资合同的约定，请求分享用资人因使用配资所产生的收益的，人民法院不予支持。　　　　</w:t>
      </w:r>
    </w:p>
    <w:p w14:paraId="36C22E38"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用资人以其因使用配资导致投资损失为由请求配资方予以赔偿的，人民法院不予支持。用资人能够证明因配资方采取更改密码等方式控制账户使得用资人无法及时平仓止损，并据此请求配资方赔偿其因此遭受的损失的，人民法院依法予以支持。</w:t>
      </w:r>
    </w:p>
    <w:p w14:paraId="5273DCF4"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用资人能够证明配资合同是因配资方招揽、劝诱而订立，请求配资方赔偿其全部或者部分损失的，人民法院应当综合考虑配资方招揽、劝诱行为的方式、对用资人的实际影响、用资人自身的投资经历、风险判断和承受能力等因素，判决配资方承担与其过错相适应的赔偿责任。</w:t>
      </w:r>
    </w:p>
    <w:p w14:paraId="41F068D6" w14:textId="53A3373B" w:rsidR="008E2D19" w:rsidRPr="007107DF" w:rsidRDefault="008E2D19" w:rsidP="007107DF">
      <w:pPr>
        <w:pStyle w:val="a7"/>
        <w:shd w:val="clear" w:color="auto" w:fill="FFFFFF"/>
        <w:adjustRightInd w:val="0"/>
        <w:snapToGrid w:val="0"/>
        <w:spacing w:beforeLines="50" w:before="156" w:beforeAutospacing="0" w:after="0" w:afterAutospacing="0" w:line="300" w:lineRule="auto"/>
        <w:jc w:val="center"/>
        <w:outlineLvl w:val="0"/>
        <w:rPr>
          <w:b/>
          <w:bCs/>
          <w:color w:val="333333"/>
          <w:spacing w:val="30"/>
        </w:rPr>
      </w:pPr>
      <w:bookmarkStart w:id="25" w:name="_Toc24657770"/>
      <w:r w:rsidRPr="007107DF">
        <w:rPr>
          <w:b/>
          <w:bCs/>
          <w:color w:val="333333"/>
          <w:spacing w:val="30"/>
        </w:rPr>
        <w:t>七、关于营业信托纠纷案件的审理</w:t>
      </w:r>
      <w:bookmarkEnd w:id="25"/>
    </w:p>
    <w:p w14:paraId="3EF2BEAC"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会议认为，从审判实践看，营业信托纠纷主要表现为事务管理信托纠纷和主动管理信托纠纷两种类型。在事务管理信托纠纷案件中，对信托公司开展和参与的多层嵌套、通道业务、回购承诺等融资活动，要以其实际构成的法律关系确定其效力，并在此基础上依法确定各方的权利</w:t>
      </w:r>
      <w:r w:rsidRPr="007107DF">
        <w:rPr>
          <w:color w:val="333333"/>
          <w:spacing w:val="30"/>
        </w:rPr>
        <w:lastRenderedPageBreak/>
        <w:t>义务。在主动管理信托纠纷案件中，应当重点审查受托人在“受人之托，忠人之事”的财产管理过程中，是否恪尽职守，履行了谨慎、有效管理等法定或者约定义务。</w:t>
      </w:r>
    </w:p>
    <w:p w14:paraId="018999AA"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88.【营业信托纠纷的认定】信托公司根据法律法规以及金融监督管理部门的监管规定，以取得信托报酬为目的接受委托人的委托，以受托人身份处理信托事务的经营行为，属于营业信托。由此产生的信托当事人之间的纠纷，为营业信托纠纷。</w:t>
      </w:r>
    </w:p>
    <w:p w14:paraId="16D8C5AF"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根据《关于规范金融机构资产管理业务的指导意见》的规定，其他金融机构开展的资产管理业务构成信托关系的，当事人之间的纠纷适用信托法及其他有关规定处理。</w:t>
      </w:r>
    </w:p>
    <w:p w14:paraId="15248386"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89.【资产或者资产收益权转让及回购】信托公司在资金信托成立后，以募集的信托资金受让特定资产或者特定资产收益权，属于信托公司在资金依法募集后的资金运用行为，由此引发的纠纷不应当认定为营业信托纠纷。如果合同中约定由转让方或者其指定的第三方在一定期间后以交易本金加上溢价款等固定价款无条件回购的，无论转让方所转让的标的物是否真实存在、是否实际交付或者过户，只要合同不存在法定无效事由，对信托公司提出的由转让方或者其指定的第三方按约定承担责任的诉讼请求，人民法院依法予以支持。</w:t>
      </w:r>
    </w:p>
    <w:p w14:paraId="34D66C75"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当事人在相关合同中同时约定采用信托公司受让目标公司股权、向目标公司增资方式并以相应股权担保债权实现的，应当认定在当事人之间成立让与担保法律关系。当事人之间的具体权利义务，根据本纪要第71 条的规定加以确定。</w:t>
      </w:r>
    </w:p>
    <w:p w14:paraId="210B8C40"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90.【劣后级受益人的责任承担】信托文件及相关合同将受益人区分为优先级受益人和劣后级受益人等不同类别，约定优先级受益人以其财产认购信托计划份额，在信托到期后，劣后级受益人负有对优先级受益人从信托财产获得利益与其投资本金及约定收益之间的差额承担补足义务，优先级受益人请求劣后级受益人按照约定承担责任的，人民法院依法予以支持。</w:t>
      </w:r>
    </w:p>
    <w:p w14:paraId="531036DF"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信托文件中关于不同类型受益人权利义务关系的约定，不影响受益人与受托人之间信托法律关系的认定。</w:t>
      </w:r>
    </w:p>
    <w:p w14:paraId="3015F360"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91.【增信文件的性质】信托合同之外的当事人提供第三方差额补足、代为履行到期回购义务、流动性支持等类似承诺文件作为增信措施，其内容符合法律关于保证的规定的，人民法院应当认定当事人之间</w:t>
      </w:r>
      <w:r w:rsidRPr="007107DF">
        <w:rPr>
          <w:color w:val="333333"/>
          <w:spacing w:val="30"/>
        </w:rPr>
        <w:lastRenderedPageBreak/>
        <w:t>成立保证合同关系。其内容不符合法律关于保证的规定的，依据承诺文件的具体内容确定相应的权利义务关系，并根据案件事实情况确定相应的民事责任。</w:t>
      </w:r>
    </w:p>
    <w:p w14:paraId="55266A50"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92.【保底或者刚兑条款无效】信托公司、商业银行等金融机构作为资产管理产品的受托人与受益人订立的含有保证本息固定回报、保证本金不受损失等保底或者刚兑条款的合同，人民法院应当认定该条款无效。受益人请求受托人对其损失承担与其过错相适应的赔偿责任的，人民法院依法予以支持。</w:t>
      </w:r>
    </w:p>
    <w:p w14:paraId="3DC960FF"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实践中，保底或者刚兑条款通常不在资产管理产品合同中明确约定，而是以“抽屉协议”或者其他方式约定，不管形式如何，均应认定无效。</w:t>
      </w:r>
    </w:p>
    <w:p w14:paraId="719AD99F"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93.【通道业务的效力】当事人在信托文件中约定，委托人自主决定信托设立、信托财产运用对象、信托财产管理运用处分方式等事宜，自行承担信托资产的风险管理责任和相应风险损失，受托人仅提供必要的事务协助或者服务，不承担主动管理职责的，应当认定为通道业务。《中国人民银行、中国银行保险监督管理委员会、中国证券监督管理委员会、国家外汇管理局关于规范金融机构资产管理业务的指导意见》第22条在规定“金融机构不得为其他金融机构的资产管理产品提供规避投资范围、杠杆约束等监管要求的通道服务”的同时，也在第29条明确按照“新老划断”原则，将过渡期设置为截止2020年底，确保平稳过渡。在过渡期内，对通道业务中存在的利用信托通道掩盖风险，规避资金投向、资产分类、拨备计提和资本占用等监管规定，或者通过信托通道将表内资产虚假出表等信托业务，如果不存在其他无效事由，一方以信托目的违法违规为由请求确认无效的，人民法院不予支持。至于委托人和受托人之间的权利义务关系，应当依据信托文件的约定加以确定。</w:t>
      </w:r>
    </w:p>
    <w:p w14:paraId="5C9B916F"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94.【受托人的举证责任】资产管理产品的委托人以受托人未履行勤勉尽责、公平对待客户等义务损害其合法权益为由，请求受托人承担损害赔偿责任的，应当由受托人举证证明其已经履行了义务。受托人不能举证证明，委托人请求其承担相应赔偿责任的，人民法院依法予以支持。</w:t>
      </w:r>
    </w:p>
    <w:p w14:paraId="57274616"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95.【信托财产的诉讼保全】信托财产在信托存续期间独立于委托人、受托人、受益人各自的固有财产。委托人将其财产委托给受托人进行管理，在信托依法设立后，该信托财产即独立于委托人未设立信托的</w:t>
      </w:r>
      <w:r w:rsidRPr="007107DF">
        <w:rPr>
          <w:color w:val="333333"/>
          <w:spacing w:val="30"/>
        </w:rPr>
        <w:lastRenderedPageBreak/>
        <w:t>其他固有财产。受托人因承诺信托而取得的信托财产，以及通过对信托财产的管理、运用、处分等方式取得的财产，均独立于受托人的固有财产。受益人对信托财产享有的权利表现为信托受益权，信托财产并非受益人的责任财产。因此，当事人因其与委托人、受托人或者受益人之间的纠纷申请对存管银行或者信托公司专门账户中的信托资金采取保全措施的，除符合《信托法》第17条规定的情形外，人民法院不应当准许。已经采取保全措施的，存管银行或者信托公司能够提供证据证明该账户为信托账户的，应当立即解除保全措施。对信托公司管理的其他信托财产的保全，也应当根据前述规则办理。</w:t>
      </w:r>
    </w:p>
    <w:p w14:paraId="18B89003"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当事人申请对受益人的受益权采取保全措施的，人民法院应当根据《信托法》第47条的规定进行审查，决定是否采取保全措施。决定采取保全措施的，应当将保全裁定送达受托人和受益人。</w:t>
      </w:r>
    </w:p>
    <w:p w14:paraId="7B798AA5"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96.【信托公司固有财产的诉讼保全】除信托公司作为被告外，原告申请对信托公司固有资金账户的资金采取保全措施的，人民法院不应准许。信托公司作为被告，确有必要对其固有财产采取诉讼保全措施的，必须强化善意执行理念，防范发生金融风险。要严格遵守相应的适用条件与法定程序，坚决杜绝超标的执行。在采取具体保全措施时，要尽量寻求依法平等保护各方利益的平衡点，优先采取方便执行且对信托公司正常经营影响最小的执行措施，能采取“活封”“活扣”措施的，尽量不进行“死封”“死扣”。在条件允许的情况下，可以为信托公司预留必要的流动资金和往来账户，最大限度降低对信托公司正常经营活动的不利影响。信托公司申请解除财产保全符合法律、司法解释规定情形的，应当在法定期限内及时解除保全措施。</w:t>
      </w:r>
    </w:p>
    <w:p w14:paraId="00C8C7B1" w14:textId="1E1C90E9" w:rsidR="008E2D19" w:rsidRPr="007107DF" w:rsidRDefault="008E2D19" w:rsidP="007107DF">
      <w:pPr>
        <w:pStyle w:val="a7"/>
        <w:shd w:val="clear" w:color="auto" w:fill="FFFFFF"/>
        <w:adjustRightInd w:val="0"/>
        <w:snapToGrid w:val="0"/>
        <w:spacing w:beforeLines="50" w:before="156" w:beforeAutospacing="0" w:after="0" w:afterAutospacing="0" w:line="300" w:lineRule="auto"/>
        <w:jc w:val="center"/>
        <w:outlineLvl w:val="0"/>
        <w:rPr>
          <w:b/>
          <w:bCs/>
          <w:color w:val="333333"/>
          <w:spacing w:val="30"/>
        </w:rPr>
      </w:pPr>
      <w:bookmarkStart w:id="26" w:name="_Toc24657771"/>
      <w:r w:rsidRPr="007107DF">
        <w:rPr>
          <w:b/>
          <w:bCs/>
          <w:color w:val="333333"/>
          <w:spacing w:val="30"/>
        </w:rPr>
        <w:t>八、关于财产保险合同纠纷案件的审理</w:t>
      </w:r>
      <w:bookmarkEnd w:id="26"/>
    </w:p>
    <w:p w14:paraId="31A18C92"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会议认为，妥善审理财产保险合同纠纷案件，对于充分发挥保险的风险管理和保障功能，依法保护各方当事人合法权益，实现保险业持续健康发展和服务实体经济，具有重大意义。</w:t>
      </w:r>
    </w:p>
    <w:p w14:paraId="1D9A8A85"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97.【未依约支付保险费的合同效力】当事人在财产保险合同中约定以投保人支付保险费作为合同生效条件，但对该生效条件是否为全额支付保险费约定不明，已经支付了部分保险费的投保人主张保险合同已经生效的，人民法院依法予以支持。</w:t>
      </w:r>
    </w:p>
    <w:p w14:paraId="4CC0C840"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98.【仲裁协议对保险人的效力】被保险人和第三者在保险事故发生前达成的仲裁协议，对行使保险代位求偿权的保险人是否具有约束</w:t>
      </w:r>
      <w:r w:rsidRPr="007107DF">
        <w:rPr>
          <w:color w:val="333333"/>
          <w:spacing w:val="30"/>
        </w:rPr>
        <w:lastRenderedPageBreak/>
        <w:t>力，实务中存在争议。保险代位求偿权是一种法定债权转让，保险人在向被保险人赔偿保险金后，有权行使被保险人对第三者请求赔偿的权利。被保险人和第三者在保险事故发生前达成的仲裁协议，对保险人具有约束力。考虑到涉外民商事案件的处理常常涉及国际条约、国际惯例的适用，相关问题具有特殊性，故具有涉外因素的民商事纠纷案件中该问题的处理，不纳入本条规范的范围。</w:t>
      </w:r>
    </w:p>
    <w:p w14:paraId="1ACF1CBA"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99.【直接索赔的诉讼时效】商业责任保险的被保险人给第三者造成损害，被保险人对第三者应当承担的赔偿责任确定后，保险人应当根据被保险人的请求，直接向第三者赔偿保险金。被保险人怠于提出请求的，第三者有权依据《保险法》第65条第2款的规定，就其应获赔偿部分直接向保险人请求赔偿保险金。保险人拒绝赔偿的，第三者请求保险人直接赔偿保险金的诉讼时效期间的起算时间如何认定，实务中存在争议。根据诉讼时效制度的基本原理，第三者请求保险人直接赔偿保险金的诉讼时效期间，自其知道或者应当知道向保险人的保险金赔偿请求权行使条件成就之日起计算。</w:t>
      </w:r>
    </w:p>
    <w:p w14:paraId="168DC2B8" w14:textId="7D3780FA" w:rsidR="008E2D19" w:rsidRPr="007107DF" w:rsidRDefault="008E2D19" w:rsidP="007107DF">
      <w:pPr>
        <w:pStyle w:val="a7"/>
        <w:shd w:val="clear" w:color="auto" w:fill="FFFFFF"/>
        <w:adjustRightInd w:val="0"/>
        <w:snapToGrid w:val="0"/>
        <w:spacing w:beforeLines="50" w:before="156" w:beforeAutospacing="0" w:after="0" w:afterAutospacing="0" w:line="300" w:lineRule="auto"/>
        <w:jc w:val="center"/>
        <w:outlineLvl w:val="0"/>
        <w:rPr>
          <w:b/>
          <w:bCs/>
          <w:color w:val="333333"/>
          <w:spacing w:val="30"/>
        </w:rPr>
      </w:pPr>
      <w:bookmarkStart w:id="27" w:name="_Toc24657772"/>
      <w:r w:rsidRPr="007107DF">
        <w:rPr>
          <w:b/>
          <w:bCs/>
          <w:color w:val="333333"/>
          <w:spacing w:val="30"/>
        </w:rPr>
        <w:t>九、关于票据纠纷案件的审理</w:t>
      </w:r>
      <w:bookmarkEnd w:id="27"/>
    </w:p>
    <w:p w14:paraId="5773DAB1"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会议认为，人民法院在审理票据纠纷案件时，应当注意区分票据的种类和功能，正确理解票据行为无因性的立法目的，在维护票据流通性功能的同时，依法认定票据行为的效力，依法确认当事人之间的权利义务关系以及保护合法持票人的权益，防范和化解票据融资市场风险，维护票据市场的交易安全。</w:t>
      </w:r>
    </w:p>
    <w:p w14:paraId="1299ADF1"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100.【合谋伪造贴现申请材料的后果】贴现行的负责人或者有权从事该业务的工作人员与贴现申请人合谋，伪造贴现申请人与其前手之间具有真实的商品交易关系的合同、增值税专用发票等材料申请贴现，贴现行主张其享有票据权利的，人民法院不予支持。对贴现行因支付资金而产生的损失，按照基础关系处理。</w:t>
      </w:r>
    </w:p>
    <w:p w14:paraId="2CB2B0C6"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101.【民间贴现行为的效力】票据贴现属于国家特许经营业务，合法持票人向不具有法定贴现资质的当事人进行“贴现”的，该行为应当认定无效，贴现款和票据应当相互返还。当事人不能返还票据的，原合法持票人可以拒绝返还贴现款。人民法院在民商事案件审理过程中，发现不具有法定资质的当事人以“贴现”为业的，因该行为涉嫌犯罪，应当将有关材料移送公安机关。民商事案件的审理必须以相关刑事案件的审理结果为依据的，应当中止诉讼，待刑事案件审结后，再恢复案件的</w:t>
      </w:r>
      <w:r w:rsidRPr="007107DF">
        <w:rPr>
          <w:color w:val="333333"/>
          <w:spacing w:val="30"/>
        </w:rPr>
        <w:lastRenderedPageBreak/>
        <w:t>审理。案件的基本事实无须以相关刑事案件的审理结果为依据的，人民法院应当继续审理。</w:t>
      </w:r>
    </w:p>
    <w:p w14:paraId="5E345493"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根据票据行为无因性原理，在合法持票人向不具有贴现资质的主体进行“贴现”，该“贴现”人给付贴现款后直接将票据交付其后手，其后手支付对价并记载自己为被背书人后，又基于真实的交易关系和债权债务关系将票据进行背书转让的情形下，应当认定最后持票人为合法持票人。</w:t>
      </w:r>
    </w:p>
    <w:p w14:paraId="189D7188"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102.【转贴现协议】转贴现是通过票据贴现持有票据的商业银行为了融通资金，在票据到期日之前将票据权利转让给其他商业银行，由转贴现行在收取一定的利息后，将转贴现款支付给持票人的票据转让行为。转贴现行提示付款被拒付后，依据转贴现协议的约定，请求未在票据上背书的转贴现申请人按照合同法律关系返还转贴现款并赔偿损失的，案由应当确定为合同纠纷。转贴现合同法律关系有效成立的，对于原告的诉讼请求，人民法院依法予以支持。当事人虚构转贴现事实，或者当事人之间不存在真实的转贴现合同法律关系的，人民法院应当向当事人释明按照真实交易关系提出诉讼请求，并按照真实交易关系和当事人约定本意依法确定当事人的责任。</w:t>
      </w:r>
    </w:p>
    <w:p w14:paraId="6B1937FC"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103.【票据清单交易、封包交易案件中的票据权利】审判实践中，以票据贴现为手段的多链条融资模式引发的案件应当引起重视。这种交易俗称票据清单交易、封包交易，是指商业银行之间就案涉票据订立转贴现或者回购协议，附以票据清单，或者将票据封包作为质押，双方约定按照票据清单中列明的基本信息进行票据转贴现或者回购，但往往并不进行票据交付和背书。实务中，双方还往往再订立一份代保管协议，约定由原票据持有人代对方继续持有票据，从而实现合法、合规的形式要求。</w:t>
      </w:r>
    </w:p>
    <w:p w14:paraId="4185A69F"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出资银行仅以参与交易的单个或者部分银行为被告提起诉讼行使票据追索权，被告能够举证证明票据交易存在诸如不符合正常转贴现交易顺序的倒打款、未进行背书转让、票据未实际交付等相关证据，并据此主张相关金融机构之间并无转贴现的真实意思表示，抗辩出资银行不享有票据权利的，人民法院依法予以支持。</w:t>
      </w:r>
    </w:p>
    <w:p w14:paraId="3F560724"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出资银行在取得商业承兑汇票后又将票据转贴现给其他商业银行，持票人向其前手主张票据权利的，人民法院依法予以支持。</w:t>
      </w:r>
    </w:p>
    <w:p w14:paraId="625CC0B3"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lastRenderedPageBreak/>
        <w:t xml:space="preserve">　　104.【票据清单交易、封包交易案件的处理原则】在村镇银行、农信社等作为直贴行，农信社、农商行、城商行、股份制银行等多家金融机构共同开展以商业承兑汇票为基础的票据清单交易、封包交易引发的纠纷案件中，在商业承兑汇票的出票人等实际用资人不能归还票款的情况下，为实现纠纷的一次性解决，出资银行以实际用资人和参与交易的其他金融机构为共同被告，请求实际用资人归还本息、参与交易的其他金融机构承担与其过错相适应的赔偿责任的，人民法院依法予以支持。</w:t>
      </w:r>
    </w:p>
    <w:p w14:paraId="1B597DF4"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出资银行仅以整个交易链条的部分当事人为被告提起诉讼的，人民法院应当向其释明，其应当申请追加参与交易的其他当事人作为共同被告。出资银行拒绝追加实际用资人为被告的，人民法院应当驳回其诉讼请求；出资银行拒绝追加参与交易的其他金融机构为被告的，人民法院在确定其他金融机构的过错责任范围时，应当将未参加诉讼的当事人应当承担的相应份额作为考量因素，相应减轻本案当事人的责任。在确定参与交易的其他金融机构的过错责任范围时，可以参照其收取的“通道费”“过桥费”等费用的比例以及案件的其他情况综合加以确定。</w:t>
      </w:r>
    </w:p>
    <w:p w14:paraId="5341B4D5"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105.【票据清单交易、封包交易案件中的民刑交叉问题】人民法院在案件审理过程中，如果发现公安机关已经就实际用资人、直贴行、出资银行的工作人员涉嫌骗取票据承兑罪、伪造印章罪等立案侦查，一方当事人根据《最高人民法院关于在审理经济纠纷案件中涉及经济犯罪嫌疑若干问题的规定》第11条的规定申请将案件移送公安机关的，因该节事实对于查明出资银行是否为正当持票人，以及参与交易的其他金融机构的抗辩理由能否成立存在重要关联，人民法院应当将有关材料移送公安机关。民商事案件的审理必须以相关刑事案件的审理结果为依据的，应当中止诉讼，待刑事案件审结后，再恢复案件的审理。案件的基本事实无须以相关刑事案件的审理结果为依据的，人民法院应当继续案件的审理。</w:t>
      </w:r>
    </w:p>
    <w:p w14:paraId="1AC33C41"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参与交易的其他商业银行以公安机关已经对其工作人员涉嫌受贿、伪造印章等犯罪立案侦查为由请求将案件移送公安机关的，因该节事实并不影响相关当事人民事责任的承担，人民法院应当根据《最高人民法院关于在审理经济纠纷案件中涉及经济犯罪嫌疑若干问题的规定》第10条的规定继续审理。</w:t>
      </w:r>
    </w:p>
    <w:p w14:paraId="4EEB3A2B"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106.【恶意申请公示催告的救济】公示催告程序本为对合法持票人进行失票救济所设，但实践中却沦为部分票据出卖方在未获得票款情形下，通过伪报票据丧失事实申请公示催告、阻止合法持票人行使票据权</w:t>
      </w:r>
      <w:r w:rsidRPr="007107DF">
        <w:rPr>
          <w:color w:val="333333"/>
          <w:spacing w:val="30"/>
        </w:rPr>
        <w:lastRenderedPageBreak/>
        <w:t>利的工具。对此，民事诉讼法司法解释已经作出了相应规定。适用时，应当区别付款人是否已经付款等情形，作出不同认定：</w:t>
      </w:r>
    </w:p>
    <w:p w14:paraId="31235212"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1）在除权判决作出后，付款人尚未付款的情况下，最后合法持票人可以根据《民事诉讼法》第223条的规定，在法定期限内请求撤销除权判决，待票据恢复效力后再依法行使票据权利。最后合法持票人也可以基于基础法律关系向其直接前手退票并请求其直接前手另行给付基础法律关系项下的对价。</w:t>
      </w:r>
    </w:p>
    <w:p w14:paraId="33105D33"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（2）除权判决作出后，付款人已经付款的，因恶意申请公示催告并持除权判决获得票款的行为损害了最后合法持票人的权利，最后合法持票人请求申请人承担侵权损害赔偿责任的，人民法院依法予以支持。</w:t>
      </w:r>
    </w:p>
    <w:p w14:paraId="15D42D25" w14:textId="23B73CB5" w:rsidR="008E2D19" w:rsidRPr="007107DF" w:rsidRDefault="008E2D19" w:rsidP="007107DF">
      <w:pPr>
        <w:pStyle w:val="a7"/>
        <w:shd w:val="clear" w:color="auto" w:fill="FFFFFF"/>
        <w:adjustRightInd w:val="0"/>
        <w:snapToGrid w:val="0"/>
        <w:spacing w:beforeLines="50" w:before="156" w:beforeAutospacing="0" w:after="0" w:afterAutospacing="0" w:line="300" w:lineRule="auto"/>
        <w:jc w:val="center"/>
        <w:outlineLvl w:val="0"/>
        <w:rPr>
          <w:b/>
          <w:bCs/>
          <w:color w:val="333333"/>
          <w:spacing w:val="30"/>
        </w:rPr>
      </w:pPr>
      <w:bookmarkStart w:id="28" w:name="_Toc24657773"/>
      <w:r w:rsidRPr="007107DF">
        <w:rPr>
          <w:b/>
          <w:bCs/>
          <w:color w:val="333333"/>
          <w:spacing w:val="30"/>
        </w:rPr>
        <w:t>十、关于破产纠纷案件的审理</w:t>
      </w:r>
      <w:bookmarkEnd w:id="28"/>
    </w:p>
    <w:p w14:paraId="07D4A017"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会议认为，审理好破产案件对于推动高质量发展、深化供给侧结构性改革、营造稳定公平透明可预期的营商环境，具有十分重要的意义。要继续深入推进破产审判工作的市场化、法治化、专业化、信息化，充分发挥破产审判公平清理债权债务、促进优胜劣汰、优化资源配置、维护市场经济秩序等重要功能。一是要继续加大对破产保护理念的宣传和落实，及时发挥破产重整制度的积极拯救功能，通过平衡债权人、债务人、出资人、员工等利害关系人的利益，实现社会整体价值最大化；注重发挥和解程序简便快速清理债权债务关系的功能，鼓励当事人通过和解程序或者达成自行和解的方式实现各方利益共赢；积极推进清算程序中的企业整体处置方式，有效维护企业营运价值和职工就业。二是要推进不符合国家产业政策、丧失经营价值的企业主体尽快从市场退出，通过依法简化破产清算程序流程加快对“僵尸企业”的清理。三是要注重提升破产制度实施的经济效益，降低破产程序运行的时间和成本，有效维护企业营运价值，最大程度发挥各类要素和资源潜力，减少企业破产给社会经济造成的损害。四是要积极稳妥进行实践探索，加强理论研究，分步骤、有重点地推进建立自然人破产制度，进一步推动健全市场主体退出制度。</w:t>
      </w:r>
    </w:p>
    <w:p w14:paraId="030E35F3"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107.【继续推动破产案件的及时受理】充分发挥破产重整案件信息网的线上预约登记功能，提高破产案件的受理效率。当事人提出破产申请的，人民法院不得以非法定理由拒绝接收破产申请材料。如果可能影响社会稳定的，要加强府院协调，制定相应预案，但不应当以“影响社会稳定”之名，行消极不作为之实。破产申请材料不完备的，立案部门应当告知当事人在指定期限内补充材料，待材料齐备后以“破申”作为</w:t>
      </w:r>
      <w:r w:rsidRPr="007107DF">
        <w:rPr>
          <w:color w:val="333333"/>
          <w:spacing w:val="30"/>
        </w:rPr>
        <w:lastRenderedPageBreak/>
        <w:t>案件类型代字编制案号登记立案，并及时将案件移送破产审判部门进行破产审查。</w:t>
      </w:r>
    </w:p>
    <w:p w14:paraId="53386978"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注重发挥破产和解制度简便快速清理债权债务关系的功能，债务人根据《企业破产法》第95条的规定，直接提出和解申请，或者在破产申请受理后宣告破产前申请和解的，人民法院应当依法受理并及时作出是否批准的裁定。</w:t>
      </w:r>
    </w:p>
    <w:p w14:paraId="3632F14B"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108.【破产申请的不予受理和撤回】人民法院裁定受理破产申请前，提出破产申请的债权人的债权因清偿或者其他原因消灭的，因申请人不再具备申请资格，人民法院应当裁定不予受理。但该裁定不影响其他符合条件的主体再次提出破产申请。破产申请受理后，管理人以上述清偿符合《企业破产法》第31条、第32条为由请求撤销的，人民法院查实后应当予以支持。</w:t>
      </w:r>
    </w:p>
    <w:p w14:paraId="5B5FACC7"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人民法院裁定受理破产申请系对债务人具有破产原因的初步认可，破产申请受理后，申请人请求撤回破产申请的，人民法院不予准许。除非存在《企业破产法》第12条第2款规定的情形，人民法院不得裁定驳回破产申请。</w:t>
      </w:r>
    </w:p>
    <w:p w14:paraId="007422AB"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109.【受理后债务人财产保全措施的处理】要切实落实破产案件受理后相关保全措施应予解除、相关执行措施应当中止、债务人财产应当及时交付管理人等规定，充分运用信息化技术手段，通过信息共享与整合，维护债务人财产的完整性。相关人民法院拒不解除保全措施或者拒不中止执行的，破产受理人民法院可以请求该法院的上级人民法院依法予以纠正。对债务人财产采取保全措施或者执行措施的人民法院未依法及时解除保全措施、移交处置权，或者中止执行程序并移交有关财产的，上级人民法院应当依法予以纠正。相关人员违反上述规定造成严重后果的，破产受理人民法院可以向人民法院纪检监察部门移送其违法审判责任线索。</w:t>
      </w:r>
    </w:p>
    <w:p w14:paraId="02629B78"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人民法院审理企业破产案件时，有关债务人财产被其他具有强制执行权力的国家行政机关，包括税务机关、公安机关、海关等采取保全措施或者执行程序的, 人民法院应当积极与上述机关进行协调和沟通，取得有关机关的配合，参照上述具体操作规程，解除有关保全措施，中止有关执行程序，以便保障破产程序顺利进行。</w:t>
      </w:r>
    </w:p>
    <w:p w14:paraId="1BF2F78E"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110.【受理后有关债务人诉讼的处理】人民法院受理破产申请后，已经开始而尚未终结的有关债务人的民事诉讼，在管理人接管债务人财</w:t>
      </w:r>
      <w:r w:rsidRPr="007107DF">
        <w:rPr>
          <w:color w:val="333333"/>
          <w:spacing w:val="30"/>
        </w:rPr>
        <w:lastRenderedPageBreak/>
        <w:t>产和诉讼事务后继续进行。债权人已经对债务人提起的给付之诉，破产申请受理后，人民法院应当继续审理，但是在判定相关当事人实体权利义务时，应当注意与企业破产法及其司法解释的规定相协调。</w:t>
      </w:r>
    </w:p>
    <w:p w14:paraId="530FC0F6"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上述裁判作出并生效前，债权人可以同时向管理人申报债权，但其作为债权尚未确定的债权人,原则上不得行使表决权，除非人民法院临时确定其债权额。上述裁判生效后，债权人应当根据裁判认定的债权数额在破产程序中依法统一受偿，其对债务人享有的债权利息应当按照《企业破产法》第46条第2款的规定停止计算。</w:t>
      </w:r>
    </w:p>
    <w:p w14:paraId="1E6A7BAB"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人民法院受理破产申请后，债权人新提起的要求债务人清偿的民事诉讼，人民法院不予受理，同时告知债权人应当向管理人申报债权。债权人申报债权后，对管理人编制的债权表记载有异议的，可以根据《企业破产法》第58条的规定提起债权确认之诉。</w:t>
      </w:r>
    </w:p>
    <w:p w14:paraId="76170644"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111.【债务人自行管理的条件】重整期间，债务人同时符合下列条件的，经申请，人民法院可以批准债务人在管理人的监督下自行管理财产和营业事务：</w:t>
      </w:r>
    </w:p>
    <w:p w14:paraId="6C5852EA"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（1）债务人的内部治理机制仍正常运转；</w:t>
      </w:r>
    </w:p>
    <w:p w14:paraId="1371D0B9"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（2）债务人自行管理有利于债务人继续经营；</w:t>
      </w:r>
    </w:p>
    <w:p w14:paraId="10610A79"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（3）债务人不存在隐匿、转移财产的行为；</w:t>
      </w:r>
    </w:p>
    <w:p w14:paraId="75DB7F72"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（4）债务人不存在其他严重损害债权人利益的行为。</w:t>
      </w:r>
    </w:p>
    <w:p w14:paraId="00B5412A"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债务人提出重整申请时可以一并提出自行管理的申请。经人民法院批准由债务人自行管理财产和营业事务的，企业破产法规定的管理人职权中有关财产管理和营业经营的职权应当由债务人行使。</w:t>
      </w:r>
    </w:p>
    <w:p w14:paraId="44918867"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管理人应当对债务人的自行管理行为进行监督。管理人发现债务人存在严重损害债权人利益的行为或者有其他不适宜自行管理情形的，可以申请人民法院作出终止债务人自行管理的决定。人民法院决定终止的，应当通知管理人接管债务人财产和营业事务。债务人有上述行为而管理人未申请人民法院作出终止决定的，债权人等利害关系人可以向人民法院提出申请。</w:t>
      </w:r>
    </w:p>
    <w:p w14:paraId="1E2AAE57"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112.【重整中担保物权的恢复行使】重整程序中，要依法平衡保护担保物权人的合法权益和企业重整价值。重整申请受理后，管理人或者自行管理的债务人应当及时确定设定有担保物权的债务人财产是否为重整所必需。如果认为担保物不是重整所必需，管理人或者自行管理的债</w:t>
      </w:r>
      <w:r w:rsidRPr="007107DF">
        <w:rPr>
          <w:color w:val="333333"/>
          <w:spacing w:val="30"/>
        </w:rPr>
        <w:lastRenderedPageBreak/>
        <w:t>务人应当及时对担保物进行拍卖或者变卖，拍卖或者变卖担保物所得价款在支付拍卖、变卖费用后优先清偿担保物权人的债权。</w:t>
      </w:r>
    </w:p>
    <w:p w14:paraId="666EF327"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在担保物权暂停行使期间，担保物权人根据《企业破产法》第75条的规定向人民法院请求恢复行使担保物权的，人民法院应当自收到恢复行使担保物权申请之日起三十日内作出裁定。经审查，担保物权人的申请不符合第75条的规定，或者虽然符合该条规定但管理人或者自行管理的债务人有证据证明担保物是重整所必需，并且提供与减少价值相应担保或者补偿的，人民法院应当裁定不予批准恢复行使担保物权。担保物权人不服该裁定的，可以自收到裁定书之日起十日内，向作出裁定的人民法院申请复议。人民法院裁定批准行使担保物权的，管理人或者自行管理的债务人应当自收到裁定书之日起十五日内启动对担保物的拍卖或者变卖，拍卖或者变卖担保物所得价款在支付拍卖、变卖费用后优先清偿担保物权人的债权。</w:t>
      </w:r>
    </w:p>
    <w:p w14:paraId="49731E2C"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113.【重整计划监督期间的管理人报酬及诉讼管辖】要依法确保重整计划的执行和有效监督。重整计划的执行期间和监督期间原则上应当一致。二者不一致的，人民法院在确定和调整重整程序中的管理人报酬方案时，应当根据重整期间和重整计划监督期间管理人工作量的不同予以区别对待。其中，重整期间的管理人报酬应当根据管理人对重整发挥的实际作用等因素予以确定和支付；重整计划监督期间管理人报酬的支付比例和支付时间，应当根据管理人监督职责的履行情况，与债权人按照重整计划实际受偿比例和受偿时间相匹配。</w:t>
      </w:r>
    </w:p>
    <w:p w14:paraId="60595340"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重整计划执行期间，因重整程序终止后新发生的事实或者事件引发的有关债务人的民事诉讼，不适用《企业破产法》第21条有关集中管辖的规定。除重整计划有明确约定外，上述纠纷引发的诉讼，不再由管理人代表债务人进行。</w:t>
      </w:r>
    </w:p>
    <w:p w14:paraId="5DDBB336"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114.【重整程序与破产清算程序的衔接】重整期间或者重整计划执行期间，债务人因法定事由被宣告破产的，人民法院不再另立新的案号，原重整程序的管理人原则上应当继续履行破产清算程序中的职责。原重整程序的管理人不能继续履行职责或者不适宜继续担任管理人的，人民法院应当依法重新指定管理人。</w:t>
      </w:r>
    </w:p>
    <w:p w14:paraId="50770D36"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重整程序转破产清算案件中的管理人报酬，应当综合管理人为重整工作和清算工作分别发挥的实际作用等因素合理确定。重整期间因法定事由转入破产清算程序的，应当按照破产清算案件确定管理人报酬。重整计划执行期间因法定事由转入破产清算程序的，后续破产清算阶段的</w:t>
      </w:r>
      <w:r w:rsidRPr="007107DF">
        <w:rPr>
          <w:color w:val="333333"/>
          <w:spacing w:val="30"/>
        </w:rPr>
        <w:lastRenderedPageBreak/>
        <w:t>管理人报酬应当根据管理人实际工作量予以确定，不能简单根据债务人最终清偿的财产价值总额计算。</w:t>
      </w:r>
    </w:p>
    <w:p w14:paraId="0242AE5B"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重整程序因人民法院裁定批准重整计划草案而终止的，重整案件可作结案处理。重整计划执行完毕后，人民法院可以根据管理人等利害关系人申请，作出重整程序终结的裁定。</w:t>
      </w:r>
    </w:p>
    <w:p w14:paraId="53279573"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115.【庭外重组协议效力在重整程序中的延伸】继续完善庭外重组与庭内重整的衔接机制，降低制度性成本，提高破产制度效率。人民法院受理重整申请前，债务人和部分债权人已经达成的有关协议与重整程序中制作的重整计划草案内容一致的，有关债权人对该协议的同意视为对该重整计划草案表决的同意。但重整计划草案对协议内容进行了修改并对有关债权人有不利影响，或者与有关债权人重大利益相关的，受到影响的债权人有权按照企业破产法的规定对重整计划草案重新进行表决。</w:t>
      </w:r>
    </w:p>
    <w:p w14:paraId="309D460E"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116.【审计、评估等中介机构的确定及责任】要合理区分人民法院和管理人在委托审计、评估等财产管理工作中的职责。破产程序中确实需要聘请中介机构对债务人财产进行审计、评估的，根据《企业破产法》第28条的规定，经人民法院许可后，管理人可以自行公开聘请，但是应当对其聘请的中介机构的相关行为进行监督。上述中介机构因不当履行职责给债务人、债权人或者第三人造成损害的，应当承担赔偿责任。管理人在聘用过程中存在过错的，应当在其过错范围内承担相应的补充赔偿责任。</w:t>
      </w:r>
    </w:p>
    <w:p w14:paraId="1C95596F"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117.【公司解散清算与破产清算的衔接】要依法区分公司解散清算与破产清算的不同功能和不同适用条件。债务人同时符合破产清算条件和强制清算条件的，应当及时适用破产清算程序实现对债权人利益的公平保护。债权人对符合破产清算条件的债务人提起公司强制清算申请，经人民法院释明，债权人仍然坚持申请对债务人强制清算的，人民法院应当裁定不予受理。</w:t>
      </w:r>
    </w:p>
    <w:p w14:paraId="2894C2B4"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118.【无法清算案件的审理与责任承担】人民法院在审理债务人相关人员下落不明或者财产状况不清的破产案件时，应当充分贯彻债权人利益保护原则，避免债务人通过破产程序不当损害债权人利益，同时也要避免不当突破股东有限责任原则。</w:t>
      </w:r>
    </w:p>
    <w:p w14:paraId="6DFE42E3"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人民法院在适用《最高人民法院关于债权人对人员下落不明或者财产状况不清的债务人申请破产清算案件如何处理的批复》第3款的规</w:t>
      </w:r>
      <w:r w:rsidRPr="007107DF">
        <w:rPr>
          <w:color w:val="333333"/>
          <w:spacing w:val="30"/>
        </w:rPr>
        <w:lastRenderedPageBreak/>
        <w:t>定，判定债务人相关人员承担责任时，应当依照企业破产法的相关规定来确定相关主体的义务内容和责任范围，不得根据公司法司法解释（二）第18条第2款的规定来判定相关主体的责任。</w:t>
      </w:r>
    </w:p>
    <w:p w14:paraId="4E58F3F4"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上述批复第3款规定的“债务人的有关人员不履行法定义务，人民法院可依据有关法律规定追究其相应法律责任”，系指债务人的法定代表人、财务管理人员和其他经营管理人员不履行《企业破产法》第15条规定的配合清算义务，人民法院可以根据《企业破产法》第126条、第127条追究其相应法律责任，或者参照《民事诉讼法》第111条的规定，依法拘留，构成犯罪的，依法追究刑事责任；债务人的法定代表人或者实际控制人不配合清算的，人民法院可以依据《出境入境管理法》第12条的规定，对其作出不准出境的决定，以确保破产程序顺利进行。</w:t>
      </w:r>
    </w:p>
    <w:p w14:paraId="4593AA49"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上述批复第3款规定的“其行为导致无法清算或者造成损失”，系指债务人的有关人员不配合清算的行为导致债务人财产状况不明，或者依法负有清算责任的人未依照《企业破产法》第7条第3款的规定及时履行破产申请义务，导致债务人主要财产、账册、重要文件等灭失，致使管理人无法执行清算职务，给债权人利益造成损害。“有关权利人起诉请求其承担相应民事责任”，系指管理人请求上述主体承担相应损害赔偿责任并将因此获得的赔偿归入债务人财产。管理人未主张上述赔偿，个别债权人可以代表全体债权人提起上述诉讼。</w:t>
      </w:r>
    </w:p>
    <w:p w14:paraId="4CF899C5"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上述破产清算案件被裁定终结后，相关主体以债务人主要财产、账册、重要文件等重新出现为由，申请对破产清算程序启动审判监督的，人民法院不予受理，但符合《企业破产法》第123条规定的，债权人可以请求人民法院追加分配。</w:t>
      </w:r>
    </w:p>
    <w:p w14:paraId="782FFFF1" w14:textId="06814E8A" w:rsidR="008E2D19" w:rsidRPr="007107DF" w:rsidRDefault="008E2D19" w:rsidP="007107DF">
      <w:pPr>
        <w:pStyle w:val="a7"/>
        <w:shd w:val="clear" w:color="auto" w:fill="FFFFFF"/>
        <w:adjustRightInd w:val="0"/>
        <w:snapToGrid w:val="0"/>
        <w:spacing w:beforeLines="50" w:before="156" w:beforeAutospacing="0" w:after="0" w:afterAutospacing="0" w:line="300" w:lineRule="auto"/>
        <w:jc w:val="center"/>
        <w:outlineLvl w:val="0"/>
        <w:rPr>
          <w:b/>
          <w:bCs/>
          <w:color w:val="333333"/>
          <w:spacing w:val="30"/>
        </w:rPr>
      </w:pPr>
      <w:bookmarkStart w:id="29" w:name="_Toc24657774"/>
      <w:r w:rsidRPr="007107DF">
        <w:rPr>
          <w:b/>
          <w:bCs/>
          <w:color w:val="333333"/>
          <w:spacing w:val="30"/>
        </w:rPr>
        <w:t>十一、关于案外人救济案件的审理</w:t>
      </w:r>
      <w:bookmarkEnd w:id="29"/>
    </w:p>
    <w:p w14:paraId="647AB789"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案外人救济案件包括案外人申请再审、案外人执行异议之诉和第三人撤销之诉三种类型。修改后的民事诉讼法在保留案外人执行异议之诉及案外人申请再审的基础上，新设立第三人撤销之诉制度，在为案外人权利保障提供更多救济渠道的同时，因彼此之间错综复杂的关系也容易导致认识上的偏差，有必要厘清其相互之间的关系，以便正确适用不同程序，依法充分保护各方主体合法权益。</w:t>
      </w:r>
    </w:p>
    <w:p w14:paraId="52DFEDB1"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119.【案外人执行异议之诉的审理】案外人执行异议之诉以排除对特定标的物的执行为目的，从程序上而言，案外人依据《民事诉讼法》</w:t>
      </w:r>
      <w:r w:rsidRPr="007107DF">
        <w:rPr>
          <w:color w:val="333333"/>
          <w:spacing w:val="30"/>
        </w:rPr>
        <w:lastRenderedPageBreak/>
        <w:t>第227条提出执行异议被驳回的，即可向执行人民法院提起执行异议之诉。人民法院对执行异议之诉的审理，一般应当就案外人对执行标的物是否享有权利、享有什么样的权利、权利是否足以排除强制执行进行判断。至于是否作出具体的确权判项，视案外人的诉讼请求而定。案外人未提出确权或者给付诉讼请求的，不作出确权判项，仅在裁判理由中进行分析判断并作出是否排除执行的判项即可。但案外人既提出确权、给付请求，又提出排除执行请求的，人民法院对该请求是否支持、是否排除执行，均应当在具体判项中予以明确。执行异议之诉不以否定作为执行依据的生效裁判为目的，案外人如认为裁判确有错误的，只能通过申请再审或者提起第三人撤销之诉的方式进行救济。</w:t>
      </w:r>
    </w:p>
    <w:p w14:paraId="73AE80DB"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120.【债权人能否提起第三人撤销之诉】第三人撤销之诉中的第三人仅局限于《民事诉讼法》第56条规定的有独立请求权及无独立请求权的第三人，而且一般不包括债权人。但是，设立第三人撤销之诉的目的在于，救济第三人享有的因不能归责于本人的事由未参加诉讼但因生效裁判文书内容错误受到损害的民事权益，因此，债权人在下列情况下可以提起第三人撤销之诉：</w:t>
      </w:r>
    </w:p>
    <w:p w14:paraId="08923E6F"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（1）该债权是法律明确给予特殊保护的债权，如《合同法》第286条规定的建设工程价款优先受偿权，《海商法》第22条规定的船舶优先权；</w:t>
      </w:r>
    </w:p>
    <w:p w14:paraId="6D71D8F3"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（2）因债务人与他人的权利义务被生效裁判文书确定，导致债权人本来可以对《合同法》第74条和《企业破产法》第31条规定的债务人的行为享有撤销权而不能行使的；</w:t>
      </w:r>
    </w:p>
    <w:p w14:paraId="439CDE0F"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（3）债权人有证据证明，裁判文书主文确定的债权内容部分或者全部虚假的。</w:t>
      </w:r>
    </w:p>
    <w:p w14:paraId="73FFC1FC"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债权人提起第三人撤销之诉还要符合法律和司法解释规定的其他条件。对于除此之外的其他债权，债权人原则上不得提起第三人撤销之诉。</w:t>
      </w:r>
    </w:p>
    <w:p w14:paraId="35C1C6E6"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121.【必要共同诉讼漏列的当事人申请再审】民事诉讼法司法解释对必要共同诉讼漏列的当事人申请再审规定了两种不同的程序，二者在管辖法院及申请再审期限的起算点上存在明显差别，人民法院在审理相关案件时应予注意：</w:t>
      </w:r>
    </w:p>
    <w:p w14:paraId="65F84430"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lastRenderedPageBreak/>
        <w:t xml:space="preserve">　　（1）该当事人在执行程序中以案外人身份提出异议，异议被驳回的，根据民事诉讼法司法解释第423条的规定，其可以在驳回异议裁定送达之日起6个月内向原审人民法院申请再审；</w:t>
      </w:r>
    </w:p>
    <w:p w14:paraId="005CCF17"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2）该当事人未在执行程序中以案外人身份提出异议的，根据民事诉讼法司法解释第422条的规定，其可以根据《民事诉讼法》第200条第8项的规定，自知道或者应当知道生效裁判之日起6个月内向上一级人民法院申请再审。当事人一方人数众多或者当事人双方为公民的案件，也可以向原审人民法院申请再审。</w:t>
      </w:r>
    </w:p>
    <w:p w14:paraId="03815D2E"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122.【程序启动后案外人不享有程序选择权】案外人申请再审与第三人撤销之诉功能上近似，如果案外人既有申请再审的权利，又符合第三人撤销之诉的条件，对于案外人是否可以行使选择权，民事诉讼法司法解释采取了限制的司法态度，即依据民事诉讼法司法解释第303条的规定，按照启动程序的先后，案外人只能选择相应的救济程序：案外人先启动执行异议程序的，对执行异议裁定不服，认为原裁判内容错误损害其合法权益的，只能向作出原裁判的人民法院申请再审，而不能提起第三人撤销之诉；案外人先启动了第三人撤销之诉，即便在执行程序中又提出执行异议，也只能继续进行第三人撤销之诉，而不能依《民事诉讼法》第227条申请再审。</w:t>
      </w:r>
    </w:p>
    <w:p w14:paraId="14E06D8E"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123.【案外人依据另案生效裁判对非金钱债权的执行提起执行异议之诉】审判实践中，案外人有时依据另案生效裁判所认定的与执行标的物有关的权利提起执行异议之诉，请求排除对标的物的执行。此时，鉴于作为执行依据的生效裁判与作为案外人提出执行异议依据的生效裁判，均涉及对同一标的物权属或给付的认定，性质上属于两个生效裁判所认定的权利之间可能产生的冲突，人民法院在审理执行异议之诉时，需区别不同情况作出判断：如果作为执行依据的生效裁判是确权裁判，不论作为执行异议依据的裁判是确权裁判还是给付裁判，一般不应据此排除执行，但人民法院应当告知案外人对作为执行依据的确权裁判申请再审；如果作为执行依据的生效裁判是给付标的物的裁判，而作为提出异议之诉依据的裁判是确权裁判，一般应据此排除执行，此时人民法院应告知其对该确权裁判申请再审；如果两个裁判均属给付标的物的裁判，人民法院需依法判断哪个裁判所认定的给付权利具有优先性，进而判断是否可以排除执行。</w:t>
      </w:r>
    </w:p>
    <w:p w14:paraId="00D79926"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124.【案外人依据另案生效裁判对金钱债权的执行提起执行异议之诉】作为执行依据的生效裁判并未涉及执行标的物，只是执行中为实现</w:t>
      </w:r>
      <w:r w:rsidRPr="007107DF">
        <w:rPr>
          <w:color w:val="333333"/>
          <w:spacing w:val="30"/>
        </w:rPr>
        <w:lastRenderedPageBreak/>
        <w:t>金钱债权对特定标的物采取了执行措施。对此种情形，《最高人民法院关于人民法院办理执行异议和复议案件若干问题的规定》第26条规定了解决案外人执行异议的规则，在审理执行异议之诉时可以参考适用。依据该条规定，作为案外人提起执行异议之诉依据的裁判将执行标的物确权给案外人，可以排除执行；作为案外人提起执行异议之诉依据的裁判，未将执行标的物确权给案外人，而是基于不以转移所有权为目的的有效合同（如租赁、借用、保管合同），判令向案外人返还执行标的物的，其性质属于物权请求权，亦可以排除执行；基于以转移所有权为目的有效合同（如买卖合同），判令向案外人交付标的物的，其性质属于债权请求权，不能排除执行。</w:t>
      </w:r>
    </w:p>
    <w:p w14:paraId="6A1AE8B5"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应予注意的是，在金钱债权执行中，如果案外人提出执行异议之诉依据的生效裁判认定以转移所有权为目的的合同（如买卖合同）无效或应当解除，进而判令向案外人返还执行标的物的，此时案外人享有的是物权性质的返还请求权，本可排除金钱债权的执行，但在双务合同无效的情况下，双方互负返还义务，在案外人未返还价款的情况下，如果允许其排除金钱债权的执行，将会使申请执行人既执行不到被执行人名下的财产，又执行不到本应返还给被执行人的价款，显然有失公允。为平衡各方当事人的利益，只有在案外人已经返还价款的情况下，才能排除普通债权人的执行。反之，案外人未返还价款的，不能排除执行。</w:t>
      </w:r>
    </w:p>
    <w:p w14:paraId="255E5C28"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125.【案外人系商品房消费者】实践中，商品房消费者向房地产开发企业购买商品房，往往没有及时办理房地产过户手续。房地产开发企业因欠债而被强制执行，人民法院在对尚登记在房地产开发企业名下但已出卖给消费者的商品房采取执行措施时，商品房消费者往往会提出执行异议，以排除强制执行。对此，《最高人民法院关于人民法院办理执行异议和复议案件若干问题的规定》第29条规定，符合下列情形的，应当支持商品房消费者的诉讼请求：一是在人民法院查封之前已签订合法有效的书面买卖合同；二是所购商品房系用于居住且买受人名下无其他用于居住的房屋；三是已支付的价款超过合同约定总价款的百分之五十。人民法院在审理执行异议之诉案件时，可参照适用此条款。</w:t>
      </w:r>
    </w:p>
    <w:p w14:paraId="3002438C"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问题是，对于其中 “所购商品房系用于居住且买受人名下无其他用于居住的房屋”如何理解，审判实践中掌握的标准不一。“买受人名下无其他用于居住的房屋”，可以理解为在案涉房屋同一设区的市或者县级市范围内商品房消费者名下没有用于居住的房屋。商品房消费者名</w:t>
      </w:r>
      <w:r w:rsidRPr="007107DF">
        <w:rPr>
          <w:color w:val="333333"/>
          <w:spacing w:val="30"/>
        </w:rPr>
        <w:lastRenderedPageBreak/>
        <w:t>下虽然已有1套房屋，但购买的房屋在面积上仍然属于满足基本居住需要的，可以理解为符合该规定的精神。</w:t>
      </w:r>
    </w:p>
    <w:p w14:paraId="61E6239B"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对于其中 “已支付的价款超过合同约定总价款的百分之五十” 如何理解，审判实践中掌握的标准也不一致。如果商品房消费者支付的价款接近于百分之五十，且已按照合同约定将剩余价款支付给申请执行人或者按照人民法院的要求交付执行的，可以理解为符合该规定的精神。</w:t>
      </w:r>
    </w:p>
    <w:p w14:paraId="54F0D1AA"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126.【商品房消费者的权利与抵押权的关系】根据《最高人民法院关于建设工程价款优先受偿权问题的批复》第1条、第2条的规定，交付全部或者大部分款项的商品房消费者的权利优先于抵押权人的抵押权，故抵押权人申请执行登记在房地产开发企业名下但已销售给消费者的商品房，消费者提出执行异议的，人民法院依法予以支持。但应当特别注意的是，此情况是针对实践中存在的商品房预售不规范现象为保护消费者生存权而作出的例外规定，必须严格把握条件，避免扩大范围，以免动摇抵押权具有优先性的基本原则。因此，这里的商品房消费者应当仅限于符合本纪要第125条规定的商品房消费者。买受人不是本纪要第125条规定的商品房消费者，而是一般的房屋买卖合同的买受人，不适用上述处理规则。</w:t>
      </w:r>
    </w:p>
    <w:p w14:paraId="35A8573A"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127.【案外人系商品房消费者之外的一般买受人】金钱债权执行中，商品房消费者之外的一般买受人对登记在被执行人名下的不动产提出异议，请求排除执行的，《最高人民法院关于人民法院办理执行异议和复议案件若干问题的规定》第28条规定，符合下列情形的依法予以支持：一是在人民法院查封之前已签订合法有效的书面买卖合同；二是在人民法院查封之前已合法占有该不动产；三是已支付全部价款，或者已按照合同约定支付部分价款且将剩余价款按照人民法院的要求交付执行；四是非因买受人自身原因未办理过户登记。人民法院在审理执行异议之诉案件时，可参照适用此条款。</w:t>
      </w:r>
    </w:p>
    <w:p w14:paraId="16271833"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实践中，对于该规定的前3个条件，理解并无分歧。对于其中的第4个条件，理解不一致。一般而言，买受人只要有向房屋登记机构递交过户登记材料，或向出卖人提出了办理过户登记的请求等积极行为的，可以认为符合该条件。买受人无上述积极行为，其未办理过户登记有合理的客观理由的，亦可认定符合该条件。</w:t>
      </w:r>
    </w:p>
    <w:p w14:paraId="74D824FB" w14:textId="2724EBBA" w:rsidR="008E2D19" w:rsidRPr="007107DF" w:rsidRDefault="008E2D19" w:rsidP="007107DF">
      <w:pPr>
        <w:pStyle w:val="a7"/>
        <w:shd w:val="clear" w:color="auto" w:fill="FFFFFF"/>
        <w:adjustRightInd w:val="0"/>
        <w:snapToGrid w:val="0"/>
        <w:spacing w:beforeLines="50" w:before="156" w:beforeAutospacing="0" w:after="0" w:afterAutospacing="0" w:line="300" w:lineRule="auto"/>
        <w:jc w:val="center"/>
        <w:outlineLvl w:val="0"/>
        <w:rPr>
          <w:b/>
          <w:bCs/>
          <w:color w:val="333333"/>
          <w:spacing w:val="30"/>
        </w:rPr>
      </w:pPr>
      <w:bookmarkStart w:id="30" w:name="_Toc24657775"/>
      <w:r w:rsidRPr="007107DF">
        <w:rPr>
          <w:b/>
          <w:bCs/>
          <w:color w:val="333333"/>
          <w:spacing w:val="30"/>
        </w:rPr>
        <w:t>十二、关于民刑交叉案件的程序处理</w:t>
      </w:r>
      <w:bookmarkEnd w:id="30"/>
    </w:p>
    <w:p w14:paraId="230FA3D3"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lastRenderedPageBreak/>
        <w:t xml:space="preserve">　　会议认为，近年来，在民间借贷、P2P等融资活动中，与涉嫌诈骗、合同诈骗、票据诈骗、集资诈骗、非法吸收公众存款等犯罪有关的民商事案件的数量有所增加，出现了一些新情况和新问题。在审理案件时，应当依照《最高人民法院关于在审理经济纠纷案件中涉及经济犯罪嫌疑若干问题的规定》《最高人民法院关于审理非法集资刑事案件具体应用法律若干问题的解释》《最高人民法院最高人民检察院公安部关于办理非法集资刑事案件适用法律若干问题的意见》以及民间借贷司法解释等规定，处理好民刑交叉案件之间的程序关系。</w:t>
      </w:r>
    </w:p>
    <w:p w14:paraId="2A0CAC32"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128.【分别审理】同一当事人因不同事实分别发生民商事纠纷和涉嫌刑事犯罪，民商事案件与刑事案件应当分别审理，主要有下列情形：</w:t>
      </w:r>
    </w:p>
    <w:p w14:paraId="4336CC23"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（1）主合同的债务人涉嫌刑事犯罪或者刑事裁判认定其构成犯罪，债权人请求担保人承担民事责任的；</w:t>
      </w:r>
    </w:p>
    <w:p w14:paraId="2842299E"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（2）行为人以法人、非法人组织或者他人名义订立合同的行为涉嫌刑事犯罪或者刑事裁判认定其构成犯罪，合同相对人请求该法人、非法人组织或者他人承担民事责任的；</w:t>
      </w:r>
    </w:p>
    <w:p w14:paraId="0D435025"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（3）法人或者非法人组织的法定代表人、负责人或者其他工作人员的职务行为涉嫌刑事犯罪或者刑事裁判认定其构成犯罪，受害人请求该法人或者非法人组织承担民事责任的；</w:t>
      </w:r>
    </w:p>
    <w:p w14:paraId="6A664254"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（4）侵权行为人涉嫌刑事犯罪或者刑事裁判认定其构成犯罪，被保险人、受益人或者其他赔偿权利人请求保险人支付保险金的；</w:t>
      </w:r>
    </w:p>
    <w:p w14:paraId="700B74C4"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（5）受害人请求涉嫌刑事犯罪的行为人之外的其他主体承担民事责任的。</w:t>
      </w:r>
    </w:p>
    <w:p w14:paraId="028B84C2"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审判实践中出现的问题是，在上述情形下，有的人民法院仍然以民商事案件涉嫌刑事犯罪为由不予受理，已经受理的，裁定驳回起诉。对此，应予纠正。</w:t>
      </w:r>
    </w:p>
    <w:p w14:paraId="3D70BC33"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129.【涉众型经济犯罪与民商事案件的程序处理】2014年颁布实施的《最高人民法院最高人民检察院公安部关于办理非法集资刑事案件适用法律若干问题的意见》和2019年1月颁布实施的《最高人民法院最高人民检察院公安部关于办理非法集资刑事案件若干问题的意见》规定的涉嫌集资诈骗、非法吸收公众存款等涉众型经济犯罪，所涉人数众多、当事人分布地域广、标的额特别巨大、影响范围广，严重影响社会稳定，对于受害人就同一事实提起的以犯罪嫌疑人或者刑事被告人为被</w:t>
      </w:r>
      <w:r w:rsidRPr="007107DF">
        <w:rPr>
          <w:color w:val="333333"/>
          <w:spacing w:val="30"/>
        </w:rPr>
        <w:lastRenderedPageBreak/>
        <w:t>告的民事诉讼，人民法院应当裁定不予受理，并将有关材料移送侦查机关、检察机关或者正在审理该刑事案件的人民法院。受害人的民事权利保护应当通过刑事追赃、退赔的方式解决。正在审理民商事案件的人民法院发现有上述涉众型经济犯罪线索的，应当及时将犯罪线索和有关材料移送侦查机关。侦查机关作出立案决定前，人民法院应当中止审理；作出立案决定后，应当裁定驳回起诉；侦查机关未及时立案的，人民法院必要时可以将案件报请党委政法委协调处理。除上述情形人民法院不予受理外，要防止通过刑事手段干预民商事审判，搞地方保护，影响营商环境。</w:t>
      </w:r>
    </w:p>
    <w:p w14:paraId="28F0D370"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当事人因租赁、买卖、金融借款等与上述涉众型经济犯罪无关的民事纠纷，请求上述主体承担民事责任的，人民法院应予受理。</w:t>
      </w:r>
    </w:p>
    <w:p w14:paraId="39EC312D" w14:textId="77777777" w:rsidR="008E2D19" w:rsidRPr="007107DF" w:rsidRDefault="008E2D19" w:rsidP="007107DF">
      <w:pPr>
        <w:pStyle w:val="a7"/>
        <w:shd w:val="clear" w:color="auto" w:fill="FFFFFF"/>
        <w:adjustRightInd w:val="0"/>
        <w:snapToGrid w:val="0"/>
        <w:spacing w:beforeLines="50" w:before="156" w:beforeAutospacing="0" w:after="0" w:afterAutospacing="0" w:line="300" w:lineRule="auto"/>
        <w:rPr>
          <w:color w:val="333333"/>
          <w:spacing w:val="8"/>
        </w:rPr>
      </w:pPr>
      <w:r w:rsidRPr="007107DF">
        <w:rPr>
          <w:color w:val="333333"/>
          <w:spacing w:val="30"/>
        </w:rPr>
        <w:t xml:space="preserve">　　130.【民刑交叉案件中民商事案件中止审理的条件】人民法院在审理民商事案件时，如果民商事案件必须以相关刑事案件的审理结果为依据，而刑事案件尚未审结的，应当根据《民事诉讼法》第150条第5项的规定裁定中止诉讼。待刑事案件审结后，再恢复民商事案件的审理。如果民商事案件不是必须以相关的刑事案件的审理结果为依据，则民商事案件应当继续审理。</w:t>
      </w:r>
    </w:p>
    <w:sectPr w:rsidR="008E2D19" w:rsidRPr="007107DF" w:rsidSect="008E2D19">
      <w:footerReference w:type="default" r:id="rId7"/>
      <w:pgSz w:w="11906" w:h="16838"/>
      <w:pgMar w:top="1440" w:right="1133"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992EF" w14:textId="77777777" w:rsidR="00E11DA1" w:rsidRDefault="00E11DA1" w:rsidP="008E2D19">
      <w:r>
        <w:separator/>
      </w:r>
    </w:p>
  </w:endnote>
  <w:endnote w:type="continuationSeparator" w:id="0">
    <w:p w14:paraId="35EBBDEA" w14:textId="77777777" w:rsidR="00E11DA1" w:rsidRDefault="00E11DA1" w:rsidP="008E2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3589861"/>
      <w:docPartObj>
        <w:docPartGallery w:val="Page Numbers (Bottom of Page)"/>
        <w:docPartUnique/>
      </w:docPartObj>
    </w:sdtPr>
    <w:sdtContent>
      <w:sdt>
        <w:sdtPr>
          <w:id w:val="1728636285"/>
          <w:docPartObj>
            <w:docPartGallery w:val="Page Numbers (Top of Page)"/>
            <w:docPartUnique/>
          </w:docPartObj>
        </w:sdtPr>
        <w:sdtContent>
          <w:p w14:paraId="1C3A2158" w14:textId="110DCABF" w:rsidR="00076A46" w:rsidRPr="00E32831" w:rsidRDefault="00076A46" w:rsidP="00E32831">
            <w:pPr>
              <w:pStyle w:val="a5"/>
              <w:jc w:val="right"/>
              <w:rPr>
                <w:rFonts w:hint="eastAsia"/>
              </w:rPr>
            </w:pPr>
            <w:r w:rsidRPr="00E32831">
              <w:rPr>
                <w:lang w:val="zh-CN"/>
              </w:rPr>
              <w:t xml:space="preserve"> </w:t>
            </w:r>
            <w:r w:rsidRPr="00E32831">
              <w:fldChar w:fldCharType="begin"/>
            </w:r>
            <w:r w:rsidRPr="00E32831">
              <w:instrText>PAGE</w:instrText>
            </w:r>
            <w:r w:rsidRPr="00E32831">
              <w:fldChar w:fldCharType="separate"/>
            </w:r>
            <w:r w:rsidRPr="00E32831">
              <w:rPr>
                <w:lang w:val="zh-CN"/>
              </w:rPr>
              <w:t>2</w:t>
            </w:r>
            <w:r w:rsidRPr="00E32831">
              <w:fldChar w:fldCharType="end"/>
            </w:r>
            <w:r w:rsidRPr="00E32831">
              <w:rPr>
                <w:lang w:val="zh-CN"/>
              </w:rPr>
              <w:t xml:space="preserve"> / </w:t>
            </w:r>
            <w:r w:rsidRPr="00E32831">
              <w:fldChar w:fldCharType="begin"/>
            </w:r>
            <w:r w:rsidRPr="00E32831">
              <w:instrText>NUMPAGES</w:instrText>
            </w:r>
            <w:r w:rsidRPr="00E32831">
              <w:fldChar w:fldCharType="separate"/>
            </w:r>
            <w:r w:rsidRPr="00E32831">
              <w:rPr>
                <w:lang w:val="zh-CN"/>
              </w:rPr>
              <w:t>2</w:t>
            </w:r>
            <w:r w:rsidRPr="00E32831">
              <w:fldChar w:fldCharType="end"/>
            </w:r>
            <w:r w:rsidR="00E32831">
              <w:t xml:space="preserve">                                </w:t>
            </w:r>
            <w:r w:rsidR="00E32831" w:rsidRPr="00E32831">
              <w:t xml:space="preserve"> </w:t>
            </w:r>
            <w:r w:rsidR="00E32831" w:rsidRPr="00E32831">
              <w:rPr>
                <w:rFonts w:hint="eastAsia"/>
              </w:rPr>
              <w:t>漆律师</w:t>
            </w:r>
            <w:r w:rsidR="00E32831">
              <w:rPr>
                <w:rFonts w:hint="eastAsia"/>
              </w:rPr>
              <w:t xml:space="preserve"> </w:t>
            </w:r>
            <w:r w:rsidR="00E32831" w:rsidRPr="00E32831">
              <w:rPr>
                <w:rFonts w:hint="eastAsia"/>
              </w:rPr>
              <w:t>整理18672765783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1013E" w14:textId="77777777" w:rsidR="00E11DA1" w:rsidRDefault="00E11DA1" w:rsidP="008E2D19">
      <w:r>
        <w:separator/>
      </w:r>
    </w:p>
  </w:footnote>
  <w:footnote w:type="continuationSeparator" w:id="0">
    <w:p w14:paraId="05ED5907" w14:textId="77777777" w:rsidR="00E11DA1" w:rsidRDefault="00E11DA1" w:rsidP="008E2D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08D"/>
    <w:rsid w:val="00076A46"/>
    <w:rsid w:val="000C208D"/>
    <w:rsid w:val="00393353"/>
    <w:rsid w:val="007107DF"/>
    <w:rsid w:val="007D1AE3"/>
    <w:rsid w:val="008E2D19"/>
    <w:rsid w:val="00E11DA1"/>
    <w:rsid w:val="00E32831"/>
    <w:rsid w:val="00EB7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6026F"/>
  <w15:chartTrackingRefBased/>
  <w15:docId w15:val="{86FCC292-D3FF-4E65-9B02-9C7A4EED4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107D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D1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E2D19"/>
    <w:rPr>
      <w:sz w:val="18"/>
      <w:szCs w:val="18"/>
    </w:rPr>
  </w:style>
  <w:style w:type="paragraph" w:styleId="a5">
    <w:name w:val="footer"/>
    <w:basedOn w:val="a"/>
    <w:link w:val="a6"/>
    <w:uiPriority w:val="99"/>
    <w:unhideWhenUsed/>
    <w:rsid w:val="008E2D19"/>
    <w:pPr>
      <w:tabs>
        <w:tab w:val="center" w:pos="4153"/>
        <w:tab w:val="right" w:pos="8306"/>
      </w:tabs>
      <w:snapToGrid w:val="0"/>
      <w:jc w:val="left"/>
    </w:pPr>
    <w:rPr>
      <w:sz w:val="18"/>
      <w:szCs w:val="18"/>
    </w:rPr>
  </w:style>
  <w:style w:type="character" w:customStyle="1" w:styleId="a6">
    <w:name w:val="页脚 字符"/>
    <w:basedOn w:val="a0"/>
    <w:link w:val="a5"/>
    <w:uiPriority w:val="99"/>
    <w:rsid w:val="008E2D19"/>
    <w:rPr>
      <w:sz w:val="18"/>
      <w:szCs w:val="18"/>
    </w:rPr>
  </w:style>
  <w:style w:type="paragraph" w:styleId="a7">
    <w:name w:val="Normal (Web)"/>
    <w:basedOn w:val="a"/>
    <w:uiPriority w:val="99"/>
    <w:semiHidden/>
    <w:unhideWhenUsed/>
    <w:rsid w:val="008E2D19"/>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7107DF"/>
    <w:rPr>
      <w:b/>
      <w:bCs/>
      <w:kern w:val="44"/>
      <w:sz w:val="44"/>
      <w:szCs w:val="44"/>
    </w:rPr>
  </w:style>
  <w:style w:type="paragraph" w:styleId="TOC">
    <w:name w:val="TOC Heading"/>
    <w:basedOn w:val="1"/>
    <w:next w:val="a"/>
    <w:uiPriority w:val="39"/>
    <w:unhideWhenUsed/>
    <w:qFormat/>
    <w:rsid w:val="007107DF"/>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7107DF"/>
  </w:style>
  <w:style w:type="character" w:styleId="a8">
    <w:name w:val="Hyperlink"/>
    <w:basedOn w:val="a0"/>
    <w:uiPriority w:val="99"/>
    <w:unhideWhenUsed/>
    <w:rsid w:val="007107DF"/>
    <w:rPr>
      <w:color w:val="0563C1" w:themeColor="hyperlink"/>
      <w:u w:val="single"/>
    </w:rPr>
  </w:style>
  <w:style w:type="paragraph" w:styleId="TOC2">
    <w:name w:val="toc 2"/>
    <w:basedOn w:val="a"/>
    <w:next w:val="a"/>
    <w:autoRedefine/>
    <w:uiPriority w:val="39"/>
    <w:unhideWhenUsed/>
    <w:rsid w:val="00076A46"/>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89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72263-3B2A-45CF-9CF9-659841E60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7118</Words>
  <Characters>40576</Characters>
  <Application>Microsoft Office Word</Application>
  <DocSecurity>0</DocSecurity>
  <Lines>338</Lines>
  <Paragraphs>95</Paragraphs>
  <ScaleCrop>false</ScaleCrop>
  <Company/>
  <LinksUpToDate>false</LinksUpToDate>
  <CharactersWithSpaces>47599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2019-11-14T12:38:00Z</dcterms:created>
  <dcterms:modified xsi:type="dcterms:W3CDTF">2019-11-14T13:15:00Z</dcterms:modified>
</cp:coreProperties>
</file>